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7181A" w14:textId="13DD2CF3" w:rsidR="000B5332" w:rsidRPr="000B5332" w:rsidRDefault="00D625A1" w:rsidP="000B5332">
      <w:pPr>
        <w:spacing w:after="0" w:line="240" w:lineRule="auto"/>
        <w:rPr>
          <w:rFonts w:asciiTheme="majorBidi" w:hAnsiTheme="majorBidi" w:cstheme="majorBidi"/>
          <w:sz w:val="20"/>
          <w:szCs w:val="20"/>
          <w:lang w:val="sq-AL"/>
        </w:rPr>
      </w:pPr>
      <w:r>
        <w:rPr>
          <w:rFonts w:asciiTheme="majorBidi" w:hAnsiTheme="majorBidi" w:cstheme="majorBidi"/>
          <w:sz w:val="20"/>
          <w:szCs w:val="20"/>
          <w:lang w:val="sq-AL"/>
        </w:rPr>
        <w:t>9 shkurt 2026</w:t>
      </w:r>
    </w:p>
    <w:p w14:paraId="2E6F8DE4" w14:textId="77777777" w:rsidR="00D625A1" w:rsidRDefault="00D625A1" w:rsidP="000B5332">
      <w:pPr>
        <w:spacing w:after="0" w:line="240" w:lineRule="auto"/>
        <w:rPr>
          <w:rFonts w:asciiTheme="majorBidi" w:hAnsiTheme="majorBidi" w:cstheme="majorBidi"/>
          <w:sz w:val="20"/>
          <w:szCs w:val="20"/>
          <w:lang w:val="sq-AL"/>
        </w:rPr>
      </w:pPr>
      <w:r w:rsidRPr="00D625A1">
        <w:rPr>
          <w:rFonts w:asciiTheme="majorBidi" w:hAnsiTheme="majorBidi" w:cstheme="majorBidi"/>
          <w:sz w:val="20"/>
          <w:szCs w:val="20"/>
          <w:lang w:val="sq-AL"/>
        </w:rPr>
        <w:t xml:space="preserve">EMA/PRAC/1387/2026 </w:t>
      </w:r>
    </w:p>
    <w:p w14:paraId="6E0C81E9" w14:textId="1BC34D0C" w:rsidR="000B5332" w:rsidRPr="000B5332" w:rsidRDefault="000B5332" w:rsidP="000B5332">
      <w:pPr>
        <w:spacing w:after="0" w:line="240" w:lineRule="auto"/>
        <w:rPr>
          <w:rFonts w:asciiTheme="majorBidi" w:hAnsiTheme="majorBidi" w:cstheme="majorBidi"/>
          <w:sz w:val="20"/>
          <w:szCs w:val="20"/>
          <w:lang w:val="sq-AL"/>
        </w:rPr>
      </w:pPr>
      <w:r w:rsidRPr="000B5332">
        <w:rPr>
          <w:rFonts w:asciiTheme="majorBidi" w:hAnsiTheme="majorBidi" w:cstheme="majorBidi"/>
          <w:sz w:val="20"/>
          <w:szCs w:val="20"/>
          <w:lang w:val="sq-AL"/>
        </w:rPr>
        <w:t>Komiteti i Vlerësimit të Rrezikut të Farmakovigjilencës (PRAC)</w:t>
      </w:r>
    </w:p>
    <w:p w14:paraId="70E0BB8E" w14:textId="77777777" w:rsidR="000B5332" w:rsidRPr="000B5332" w:rsidRDefault="000B5332" w:rsidP="000B5332">
      <w:pPr>
        <w:spacing w:after="0" w:line="240" w:lineRule="auto"/>
        <w:rPr>
          <w:rFonts w:asciiTheme="majorBidi" w:hAnsiTheme="majorBidi" w:cstheme="majorBidi"/>
          <w:lang w:val="sq-AL"/>
        </w:rPr>
      </w:pPr>
    </w:p>
    <w:p w14:paraId="788836C9" w14:textId="77777777" w:rsidR="000B5332" w:rsidRPr="005C06E8" w:rsidRDefault="000B5332" w:rsidP="000B5332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proofErr w:type="spellStart"/>
      <w:r w:rsidRPr="005C06E8">
        <w:rPr>
          <w:rFonts w:asciiTheme="majorBidi" w:hAnsiTheme="majorBidi" w:cstheme="majorBidi"/>
          <w:b/>
          <w:bCs/>
          <w:sz w:val="24"/>
          <w:szCs w:val="24"/>
          <w:lang w:val="fr-FR"/>
        </w:rPr>
        <w:t>Rekomandimet</w:t>
      </w:r>
      <w:proofErr w:type="spellEnd"/>
      <w:r w:rsidRPr="005C06E8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e PRAC-ut </w:t>
      </w:r>
      <w:proofErr w:type="spellStart"/>
      <w:r w:rsidRPr="005C06E8">
        <w:rPr>
          <w:rFonts w:asciiTheme="majorBidi" w:hAnsiTheme="majorBidi" w:cstheme="majorBidi"/>
          <w:b/>
          <w:bCs/>
          <w:sz w:val="24"/>
          <w:szCs w:val="24"/>
          <w:lang w:val="fr-FR"/>
        </w:rPr>
        <w:t>mbi</w:t>
      </w:r>
      <w:proofErr w:type="spellEnd"/>
      <w:r w:rsidRPr="005C06E8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b/>
          <w:bCs/>
          <w:sz w:val="24"/>
          <w:szCs w:val="24"/>
          <w:lang w:val="fr-FR"/>
        </w:rPr>
        <w:t>sinjalet</w:t>
      </w:r>
      <w:proofErr w:type="spellEnd"/>
    </w:p>
    <w:p w14:paraId="1CAAB522" w14:textId="4B5C500D" w:rsidR="000B5332" w:rsidRPr="00246DD6" w:rsidRDefault="000B5332" w:rsidP="000B5332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proofErr w:type="spellStart"/>
      <w:r w:rsidRPr="00246DD6">
        <w:rPr>
          <w:rFonts w:asciiTheme="majorBidi" w:hAnsiTheme="majorBidi" w:cstheme="majorBidi"/>
          <w:b/>
          <w:bCs/>
          <w:sz w:val="24"/>
          <w:szCs w:val="24"/>
          <w:lang w:val="fr-FR"/>
        </w:rPr>
        <w:t>Miratuar</w:t>
      </w:r>
      <w:proofErr w:type="spellEnd"/>
      <w:r w:rsidRPr="00246DD6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proofErr w:type="spellStart"/>
      <w:r w:rsidRPr="00246DD6">
        <w:rPr>
          <w:rFonts w:asciiTheme="majorBidi" w:hAnsiTheme="majorBidi" w:cstheme="majorBidi"/>
          <w:b/>
          <w:bCs/>
          <w:sz w:val="24"/>
          <w:szCs w:val="24"/>
          <w:lang w:val="fr-FR"/>
        </w:rPr>
        <w:t>në</w:t>
      </w:r>
      <w:proofErr w:type="spellEnd"/>
      <w:r w:rsidRPr="00246DD6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proofErr w:type="spellStart"/>
      <w:r w:rsidRPr="00246DD6">
        <w:rPr>
          <w:rFonts w:asciiTheme="majorBidi" w:hAnsiTheme="majorBidi" w:cstheme="majorBidi"/>
          <w:b/>
          <w:bCs/>
          <w:sz w:val="24"/>
          <w:szCs w:val="24"/>
          <w:lang w:val="fr-FR"/>
        </w:rPr>
        <w:t>takimin</w:t>
      </w:r>
      <w:proofErr w:type="spellEnd"/>
      <w:r w:rsidRPr="00246DD6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e PRAC-ut </w:t>
      </w:r>
      <w:proofErr w:type="spellStart"/>
      <w:r w:rsidRPr="00246DD6">
        <w:rPr>
          <w:rFonts w:asciiTheme="majorBidi" w:hAnsiTheme="majorBidi" w:cstheme="majorBidi"/>
          <w:b/>
          <w:bCs/>
          <w:sz w:val="24"/>
          <w:szCs w:val="24"/>
          <w:lang w:val="fr-FR"/>
        </w:rPr>
        <w:t>më</w:t>
      </w:r>
      <w:proofErr w:type="spellEnd"/>
      <w:r w:rsidRPr="00246DD6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r w:rsidR="00813DA7" w:rsidRPr="00246DD6">
        <w:rPr>
          <w:rFonts w:asciiTheme="majorBidi" w:hAnsiTheme="majorBidi" w:cstheme="majorBidi"/>
          <w:b/>
          <w:bCs/>
          <w:sz w:val="24"/>
          <w:szCs w:val="24"/>
          <w:lang w:val="fr-FR"/>
        </w:rPr>
        <w:t>12-15 Janar 2026</w:t>
      </w:r>
    </w:p>
    <w:p w14:paraId="5BF3936B" w14:textId="46BA9BFA" w:rsidR="000B5332" w:rsidRPr="005C06E8" w:rsidRDefault="000B5332" w:rsidP="000B5332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Ky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dokument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ofron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një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përmbledhje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rekomandimeve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miratuara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nga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Komiteti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i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Vlerësimit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Rrezikut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Farmakovigjilencës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(PRAC)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mbi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sinjalet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e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diskutuara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gjatë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takimit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813DA7" w:rsidRPr="00813DA7">
        <w:rPr>
          <w:rFonts w:asciiTheme="majorBidi" w:hAnsiTheme="majorBidi" w:cstheme="majorBidi"/>
          <w:sz w:val="24"/>
          <w:szCs w:val="24"/>
          <w:lang w:val="fr-FR"/>
        </w:rPr>
        <w:t xml:space="preserve">12-15 Janar 2026 </w:t>
      </w:r>
      <w:r w:rsidRPr="005C06E8">
        <w:rPr>
          <w:rFonts w:asciiTheme="majorBidi" w:hAnsiTheme="majorBidi" w:cstheme="majorBidi"/>
          <w:sz w:val="24"/>
          <w:szCs w:val="24"/>
          <w:lang w:val="fr-FR"/>
        </w:rPr>
        <w:t>(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duke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përfshirë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numrat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referues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Mjetit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Evropian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Gjurmimit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Çështjeve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Farmakovigjilencës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[EPITT]2).</w:t>
      </w:r>
    </w:p>
    <w:p w14:paraId="2A6B674F" w14:textId="77777777" w:rsidR="000B5332" w:rsidRPr="005C06E8" w:rsidRDefault="000B5332" w:rsidP="000B5332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Rekomandimet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e PRAC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për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ofruar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informacion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plotësues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janë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zbatueshme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drejtpërdrejt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nga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mbajtësit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e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autorizimit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marketingut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(MAH)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përkatës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Rekomandimet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e PRAC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për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veprime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rregullatore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(p.sh. </w:t>
      </w:r>
      <w:proofErr w:type="spellStart"/>
      <w:proofErr w:type="gramStart"/>
      <w:r w:rsidRPr="005C06E8">
        <w:rPr>
          <w:rFonts w:asciiTheme="majorBidi" w:hAnsiTheme="majorBidi" w:cstheme="majorBidi"/>
          <w:sz w:val="24"/>
          <w:szCs w:val="24"/>
          <w:lang w:val="fr-FR"/>
        </w:rPr>
        <w:t>ndryshimi</w:t>
      </w:r>
      <w:proofErr w:type="spellEnd"/>
      <w:proofErr w:type="gram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i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informacionit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produktit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) i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paraqiten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Komitetit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për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Produkte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Medicinale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për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Përdorim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Njerëzor (CHMP)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për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miratim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kur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sinjali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ka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bëjë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me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Produkte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Autorizuara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në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nivel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Qendror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(CAP),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dhe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Grupit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Koordinues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për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Njohjen Reciproke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dhe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Procedurat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e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Decentralizuara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-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Njerëzore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(CMDh)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për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informacion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në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rastin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e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Produkteve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Autorizuara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në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nivel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Kombëtar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(NAP).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Më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pas, MAH-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pritet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ndërmarrin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veprime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sipas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rekomandimeve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PRAC.</w:t>
      </w:r>
    </w:p>
    <w:p w14:paraId="756709B4" w14:textId="77777777" w:rsidR="000B5332" w:rsidRPr="005C06E8" w:rsidRDefault="000B5332" w:rsidP="000B5332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Kur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është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e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përshtatshme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, PRAC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mund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rekomandojë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gjithashtu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kryerjen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e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analizave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shtesë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nga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Agjencia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ose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Shtetet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Anëtare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>.</w:t>
      </w:r>
    </w:p>
    <w:p w14:paraId="0CEC2D96" w14:textId="77777777" w:rsidR="000B5332" w:rsidRPr="005C06E8" w:rsidRDefault="000B5332" w:rsidP="000B5332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5C06E8">
        <w:rPr>
          <w:rFonts w:asciiTheme="majorBidi" w:hAnsiTheme="majorBidi" w:cstheme="majorBidi"/>
          <w:sz w:val="24"/>
          <w:szCs w:val="24"/>
          <w:lang w:val="fr-FR"/>
        </w:rPr>
        <w:t>MAH-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ve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u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kujtohet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se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në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përputhje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me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Nenin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16(3)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Rregullores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Nr. (BE) 726/2004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dhe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Nenin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23(3)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Direktivës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2001/83/EC,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ata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duhet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sigurohen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që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informacioni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i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tyre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i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produktit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mbahet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i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përditësuar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me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njohuritë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shkencore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aktuale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duke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përfshirë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përfundimet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e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vlerësimit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dhe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rekomandimet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e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publikuara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në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faqen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e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internetit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Agjencisë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Evropiane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Barnave (EMA).</w:t>
      </w:r>
    </w:p>
    <w:p w14:paraId="5B9D9C3F" w14:textId="2562B0B7" w:rsidR="000B5332" w:rsidRPr="005C06E8" w:rsidRDefault="000B5332" w:rsidP="000B5332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Për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CAP-të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në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kohën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e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publikimit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rekomandimet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e PRAC-ut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për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përditësimin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e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informacionit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produktit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kanë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ra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dakord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nga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CHMP-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ja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në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takimin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e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tyre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plenar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(</w:t>
      </w:r>
      <w:r w:rsidR="00246DD6">
        <w:rPr>
          <w:rFonts w:asciiTheme="majorBidi" w:hAnsiTheme="majorBidi" w:cstheme="majorBidi"/>
          <w:sz w:val="24"/>
          <w:szCs w:val="24"/>
          <w:lang w:val="fr-FR"/>
        </w:rPr>
        <w:t>26-29shkurt</w:t>
      </w:r>
      <w:r w:rsidR="00414E3E">
        <w:rPr>
          <w:rFonts w:asciiTheme="majorBidi" w:hAnsiTheme="majorBidi" w:cstheme="majorBidi"/>
          <w:sz w:val="24"/>
          <w:szCs w:val="24"/>
          <w:lang w:val="fr-FR"/>
        </w:rPr>
        <w:t xml:space="preserve"> 2026</w:t>
      </w:r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)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dhe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ndryshimet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përkatëse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do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vlerësohen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nga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CHMP-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ja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>.</w:t>
      </w:r>
    </w:p>
    <w:p w14:paraId="48800509" w14:textId="77777777" w:rsidR="000B5332" w:rsidRPr="005C06E8" w:rsidRDefault="000B5332" w:rsidP="000B5332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Për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barnat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autorizuara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në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nivel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kombëtar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është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përgjegjësi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e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Autoriteteve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Kompetente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Kombëtare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(NCA)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Shteteve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Anëtare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mbikëqyrin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që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rekomandimet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e PRAC-ut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mbi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sinjalet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respektohen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Variacionet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për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NAPs-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të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trajtohen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sipas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procedurave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të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përcaktuara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të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EMA-s. MAH-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të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referohen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udhëzimeve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në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dispozicion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Variacionet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për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NAPs-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të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(duke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përfshirë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njohjen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reciproke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dhe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procedurat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e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decentralizuara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trajtohen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në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nivel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kombëtar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në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përputhje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me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dispozitat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e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Shteteve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Anëtare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>.</w:t>
      </w:r>
    </w:p>
    <w:p w14:paraId="724E168A" w14:textId="77777777" w:rsidR="000B5332" w:rsidRPr="005C06E8" w:rsidRDefault="000B5332" w:rsidP="000B5332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C06E8">
        <w:rPr>
          <w:rFonts w:asciiTheme="majorBidi" w:hAnsiTheme="majorBidi" w:cstheme="majorBidi"/>
          <w:sz w:val="24"/>
          <w:szCs w:val="24"/>
        </w:rPr>
        <w:t>Afati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kohor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rekomanduar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nga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PRAC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për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dorëzimin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e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ndryshimeve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pas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vlerësimit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të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sinjalit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është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zbatueshëm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për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produktet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medicinale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inovative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ashtu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edhe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për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ato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gjenerike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përveç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nëse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specifikohet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</w:rPr>
        <w:t>ndryshe</w:t>
      </w:r>
      <w:proofErr w:type="spellEnd"/>
      <w:r w:rsidRPr="005C06E8">
        <w:rPr>
          <w:rFonts w:asciiTheme="majorBidi" w:hAnsiTheme="majorBidi" w:cstheme="majorBidi"/>
          <w:sz w:val="24"/>
          <w:szCs w:val="24"/>
        </w:rPr>
        <w:t>.</w:t>
      </w:r>
    </w:p>
    <w:p w14:paraId="42AC33F6" w14:textId="77777777" w:rsidR="000B5332" w:rsidRPr="005C06E8" w:rsidRDefault="000B5332" w:rsidP="000B5332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3524207" w14:textId="77777777" w:rsidR="000B5332" w:rsidRPr="005C06E8" w:rsidRDefault="000B5332" w:rsidP="000B5332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5C06E8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1. </w:t>
      </w:r>
      <w:proofErr w:type="spellStart"/>
      <w:r w:rsidRPr="005C06E8">
        <w:rPr>
          <w:rFonts w:asciiTheme="majorBidi" w:hAnsiTheme="majorBidi" w:cstheme="majorBidi"/>
          <w:b/>
          <w:bCs/>
          <w:sz w:val="24"/>
          <w:szCs w:val="24"/>
          <w:lang w:val="fr-FR"/>
        </w:rPr>
        <w:t>Rekomandime</w:t>
      </w:r>
      <w:proofErr w:type="spellEnd"/>
      <w:r w:rsidRPr="005C06E8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b/>
          <w:bCs/>
          <w:sz w:val="24"/>
          <w:szCs w:val="24"/>
          <w:lang w:val="fr-FR"/>
        </w:rPr>
        <w:t>për</w:t>
      </w:r>
      <w:proofErr w:type="spellEnd"/>
      <w:r w:rsidRPr="005C06E8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b/>
          <w:bCs/>
          <w:sz w:val="24"/>
          <w:szCs w:val="24"/>
          <w:lang w:val="fr-FR"/>
        </w:rPr>
        <w:t>përditësimin</w:t>
      </w:r>
      <w:proofErr w:type="spellEnd"/>
      <w:r w:rsidRPr="005C06E8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e </w:t>
      </w:r>
      <w:proofErr w:type="spellStart"/>
      <w:r w:rsidRPr="005C06E8">
        <w:rPr>
          <w:rFonts w:asciiTheme="majorBidi" w:hAnsiTheme="majorBidi" w:cstheme="majorBidi"/>
          <w:b/>
          <w:bCs/>
          <w:sz w:val="24"/>
          <w:szCs w:val="24"/>
          <w:lang w:val="fr-FR"/>
        </w:rPr>
        <w:t>informacionit</w:t>
      </w:r>
      <w:proofErr w:type="spellEnd"/>
      <w:r w:rsidRPr="005C06E8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b/>
          <w:bCs/>
          <w:sz w:val="24"/>
          <w:szCs w:val="24"/>
          <w:lang w:val="fr-FR"/>
        </w:rPr>
        <w:t>të</w:t>
      </w:r>
      <w:proofErr w:type="spellEnd"/>
      <w:r w:rsidRPr="005C06E8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produktit3</w:t>
      </w:r>
    </w:p>
    <w:p w14:paraId="65BBE254" w14:textId="061C220E" w:rsidR="000B5332" w:rsidRPr="005C06E8" w:rsidRDefault="000B5332" w:rsidP="000B5332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294467"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lastRenderedPageBreak/>
        <w:t xml:space="preserve">1.1. </w:t>
      </w:r>
      <w:proofErr w:type="spellStart"/>
      <w:proofErr w:type="gramStart"/>
      <w:r w:rsidR="009E0436" w:rsidRPr="00294467"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Cefazolinë</w:t>
      </w:r>
      <w:proofErr w:type="spellEnd"/>
      <w:r w:rsidR="009E0436" w:rsidRPr="00294467"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;</w:t>
      </w:r>
      <w:proofErr w:type="gramEnd"/>
      <w:r w:rsidR="009E0436" w:rsidRPr="00294467"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 xml:space="preserve"> </w:t>
      </w:r>
      <w:proofErr w:type="spellStart"/>
      <w:r w:rsidR="009E0436" w:rsidRPr="00294467"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cefazolinë</w:t>
      </w:r>
      <w:proofErr w:type="spellEnd"/>
      <w:r w:rsidR="009E0436" w:rsidRPr="00294467"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 xml:space="preserve">, </w:t>
      </w:r>
      <w:proofErr w:type="spellStart"/>
      <w:r w:rsidR="009E0436" w:rsidRPr="00294467"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hidroklorur</w:t>
      </w:r>
      <w:proofErr w:type="spellEnd"/>
      <w:r w:rsidR="009E0436" w:rsidRPr="00294467"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 xml:space="preserve"> </w:t>
      </w:r>
      <w:proofErr w:type="spellStart"/>
      <w:r w:rsidR="009E0436" w:rsidRPr="00294467"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lidokaine</w:t>
      </w:r>
      <w:proofErr w:type="spellEnd"/>
      <w:r w:rsidR="009E0436" w:rsidRPr="00294467"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 xml:space="preserve"> - </w:t>
      </w:r>
      <w:proofErr w:type="spellStart"/>
      <w:r w:rsidR="009E0436" w:rsidRPr="00294467"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sindroma</w:t>
      </w:r>
      <w:proofErr w:type="spellEnd"/>
      <w:r w:rsidR="009E0436" w:rsidRPr="00294467"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 xml:space="preserve"> </w:t>
      </w:r>
      <w:proofErr w:type="spellStart"/>
      <w:r w:rsidR="009E0436" w:rsidRPr="00294467"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Kounis</w:t>
      </w:r>
      <w:proofErr w:type="spellEnd"/>
    </w:p>
    <w:p w14:paraId="73E69DE8" w14:textId="77777777" w:rsidR="000B5332" w:rsidRPr="005C06E8" w:rsidRDefault="000B5332" w:rsidP="000B5332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proofErr w:type="spellStart"/>
      <w:r w:rsidRPr="005C06E8">
        <w:rPr>
          <w:rFonts w:asciiTheme="majorBidi" w:hAnsiTheme="majorBidi" w:cstheme="majorBidi"/>
          <w:b/>
          <w:bCs/>
          <w:sz w:val="24"/>
          <w:szCs w:val="24"/>
          <w:lang w:val="fr-FR"/>
        </w:rPr>
        <w:t>Rekomandim</w:t>
      </w:r>
      <w:proofErr w:type="spellEnd"/>
    </w:p>
    <w:p w14:paraId="7144D4F9" w14:textId="77777777" w:rsidR="000B5332" w:rsidRPr="005C06E8" w:rsidRDefault="000B5332" w:rsidP="000B5332">
      <w:pPr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Duke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marrë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në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konsideratë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provat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e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disponueshme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në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EudraVigilance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literaturën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dhe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përgjigjet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e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Mbajtësit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Autorizimit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Tregtimit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(MAH), PRAC ka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rënë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dakord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që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MAH-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e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produkteve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që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përmbajnë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bosutinib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duhet</w:t>
      </w:r>
      <w:proofErr w:type="spellEnd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të</w:t>
      </w:r>
      <w:proofErr w:type="spellEnd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paraqesin</w:t>
      </w:r>
      <w:proofErr w:type="spellEnd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një</w:t>
      </w:r>
      <w:proofErr w:type="spellEnd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variacion</w:t>
      </w:r>
      <w:proofErr w:type="spellEnd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sipas</w:t>
      </w:r>
      <w:proofErr w:type="spellEnd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legjislacionit</w:t>
      </w:r>
      <w:proofErr w:type="spellEnd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në</w:t>
      </w:r>
      <w:proofErr w:type="spellEnd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fuqi</w:t>
      </w:r>
      <w:proofErr w:type="spellEnd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në</w:t>
      </w:r>
      <w:proofErr w:type="spellEnd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Republikën</w:t>
      </w:r>
      <w:proofErr w:type="spellEnd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e </w:t>
      </w:r>
      <w:proofErr w:type="spellStart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Shqipërisë</w:t>
      </w:r>
      <w:proofErr w:type="spellEnd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, </w:t>
      </w:r>
      <w:proofErr w:type="spellStart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për</w:t>
      </w:r>
      <w:proofErr w:type="spellEnd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të</w:t>
      </w:r>
      <w:proofErr w:type="spellEnd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ndryshuar</w:t>
      </w:r>
      <w:proofErr w:type="spellEnd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informacionin</w:t>
      </w:r>
      <w:proofErr w:type="spellEnd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e </w:t>
      </w:r>
      <w:proofErr w:type="spellStart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produktit</w:t>
      </w:r>
      <w:proofErr w:type="spellEnd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siç</w:t>
      </w:r>
      <w:proofErr w:type="spellEnd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përshkruhet</w:t>
      </w:r>
      <w:proofErr w:type="spellEnd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më</w:t>
      </w:r>
      <w:proofErr w:type="spellEnd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poshtë</w:t>
      </w:r>
      <w:proofErr w:type="spellEnd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(</w:t>
      </w:r>
      <w:proofErr w:type="spellStart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teksti</w:t>
      </w:r>
      <w:proofErr w:type="spellEnd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i ri i </w:t>
      </w:r>
      <w:proofErr w:type="spellStart"/>
      <w:proofErr w:type="gramStart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nënvizuar</w:t>
      </w:r>
      <w:proofErr w:type="spellEnd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)</w:t>
      </w:r>
      <w:proofErr w:type="gramEnd"/>
      <w:r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: </w:t>
      </w:r>
    </w:p>
    <w:p w14:paraId="78AB52DC" w14:textId="77777777" w:rsidR="000B5332" w:rsidRPr="005C06E8" w:rsidRDefault="000B5332" w:rsidP="000B5332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proofErr w:type="spellStart"/>
      <w:r w:rsidRPr="005C06E8">
        <w:rPr>
          <w:rFonts w:asciiTheme="majorBidi" w:hAnsiTheme="majorBidi" w:cstheme="majorBidi"/>
          <w:b/>
          <w:bCs/>
          <w:sz w:val="24"/>
          <w:szCs w:val="24"/>
          <w:lang w:val="fr-FR"/>
        </w:rPr>
        <w:t>Përmbledhje</w:t>
      </w:r>
      <w:proofErr w:type="spellEnd"/>
      <w:r w:rsidRPr="005C06E8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e </w:t>
      </w:r>
      <w:proofErr w:type="spellStart"/>
      <w:r w:rsidRPr="005C06E8">
        <w:rPr>
          <w:rFonts w:asciiTheme="majorBidi" w:hAnsiTheme="majorBidi" w:cstheme="majorBidi"/>
          <w:b/>
          <w:bCs/>
          <w:sz w:val="24"/>
          <w:szCs w:val="24"/>
          <w:lang w:val="fr-FR"/>
        </w:rPr>
        <w:t>karakteristikave</w:t>
      </w:r>
      <w:proofErr w:type="spellEnd"/>
      <w:r w:rsidRPr="005C06E8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b/>
          <w:bCs/>
          <w:sz w:val="24"/>
          <w:szCs w:val="24"/>
          <w:lang w:val="fr-FR"/>
        </w:rPr>
        <w:t>të</w:t>
      </w:r>
      <w:proofErr w:type="spellEnd"/>
      <w:r w:rsidRPr="005C06E8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proofErr w:type="spellStart"/>
      <w:r w:rsidRPr="005C06E8">
        <w:rPr>
          <w:rFonts w:asciiTheme="majorBidi" w:hAnsiTheme="majorBidi" w:cstheme="majorBidi"/>
          <w:b/>
          <w:bCs/>
          <w:sz w:val="24"/>
          <w:szCs w:val="24"/>
          <w:lang w:val="fr-FR"/>
        </w:rPr>
        <w:t>produktit</w:t>
      </w:r>
      <w:proofErr w:type="spellEnd"/>
    </w:p>
    <w:p w14:paraId="5F96AC3E" w14:textId="08139787" w:rsidR="000B5332" w:rsidRDefault="000B5332" w:rsidP="000B5332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5C06E8">
        <w:rPr>
          <w:rFonts w:asciiTheme="majorBidi" w:hAnsiTheme="majorBidi" w:cstheme="majorBidi"/>
          <w:b/>
          <w:bCs/>
          <w:sz w:val="24"/>
          <w:szCs w:val="24"/>
          <w:lang w:val="fr-FR"/>
        </w:rPr>
        <w:t>4.</w:t>
      </w:r>
      <w:r w:rsidR="00F6510C">
        <w:rPr>
          <w:rFonts w:asciiTheme="majorBidi" w:hAnsiTheme="majorBidi" w:cstheme="majorBidi"/>
          <w:b/>
          <w:bCs/>
          <w:sz w:val="24"/>
          <w:szCs w:val="24"/>
          <w:lang w:val="fr-FR"/>
        </w:rPr>
        <w:t>4</w:t>
      </w:r>
      <w:r w:rsidRPr="005C06E8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proofErr w:type="spellStart"/>
      <w:r w:rsidR="00D01EF5" w:rsidRPr="00D01EF5">
        <w:rPr>
          <w:rFonts w:asciiTheme="majorBidi" w:hAnsiTheme="majorBidi" w:cstheme="majorBidi"/>
          <w:b/>
          <w:bCs/>
          <w:sz w:val="24"/>
          <w:szCs w:val="24"/>
          <w:lang w:val="fr-FR"/>
        </w:rPr>
        <w:t>Paralajmërime</w:t>
      </w:r>
      <w:proofErr w:type="spellEnd"/>
      <w:r w:rsidR="00D01EF5" w:rsidRPr="00D01EF5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proofErr w:type="spellStart"/>
      <w:r w:rsidR="00D01EF5" w:rsidRPr="00D01EF5">
        <w:rPr>
          <w:rFonts w:asciiTheme="majorBidi" w:hAnsiTheme="majorBidi" w:cstheme="majorBidi"/>
          <w:b/>
          <w:bCs/>
          <w:sz w:val="24"/>
          <w:szCs w:val="24"/>
          <w:lang w:val="fr-FR"/>
        </w:rPr>
        <w:t>dhe</w:t>
      </w:r>
      <w:proofErr w:type="spellEnd"/>
      <w:r w:rsidR="00D01EF5" w:rsidRPr="00D01EF5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proofErr w:type="spellStart"/>
      <w:r w:rsidR="00D01EF5" w:rsidRPr="00D01EF5">
        <w:rPr>
          <w:rFonts w:asciiTheme="majorBidi" w:hAnsiTheme="majorBidi" w:cstheme="majorBidi"/>
          <w:b/>
          <w:bCs/>
          <w:sz w:val="24"/>
          <w:szCs w:val="24"/>
          <w:lang w:val="fr-FR"/>
        </w:rPr>
        <w:t>masa</w:t>
      </w:r>
      <w:proofErr w:type="spellEnd"/>
      <w:r w:rsidR="00D01EF5" w:rsidRPr="00D01EF5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proofErr w:type="spellStart"/>
      <w:r w:rsidR="00D01EF5" w:rsidRPr="00D01EF5">
        <w:rPr>
          <w:rFonts w:asciiTheme="majorBidi" w:hAnsiTheme="majorBidi" w:cstheme="majorBidi"/>
          <w:b/>
          <w:bCs/>
          <w:sz w:val="24"/>
          <w:szCs w:val="24"/>
          <w:lang w:val="fr-FR"/>
        </w:rPr>
        <w:t>paraprake</w:t>
      </w:r>
      <w:proofErr w:type="spellEnd"/>
      <w:r w:rsidR="00D01EF5" w:rsidRPr="00D01EF5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proofErr w:type="spellStart"/>
      <w:r w:rsidR="00D01EF5" w:rsidRPr="00D01EF5">
        <w:rPr>
          <w:rFonts w:asciiTheme="majorBidi" w:hAnsiTheme="majorBidi" w:cstheme="majorBidi"/>
          <w:b/>
          <w:bCs/>
          <w:sz w:val="24"/>
          <w:szCs w:val="24"/>
          <w:lang w:val="fr-FR"/>
        </w:rPr>
        <w:t>të</w:t>
      </w:r>
      <w:proofErr w:type="spellEnd"/>
      <w:r w:rsidR="00D01EF5" w:rsidRPr="00D01EF5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proofErr w:type="spellStart"/>
      <w:r w:rsidR="00D01EF5" w:rsidRPr="00D01EF5">
        <w:rPr>
          <w:rFonts w:asciiTheme="majorBidi" w:hAnsiTheme="majorBidi" w:cstheme="majorBidi"/>
          <w:b/>
          <w:bCs/>
          <w:sz w:val="24"/>
          <w:szCs w:val="24"/>
          <w:lang w:val="fr-FR"/>
        </w:rPr>
        <w:t>veçanta</w:t>
      </w:r>
      <w:proofErr w:type="spellEnd"/>
      <w:r w:rsidR="00D01EF5" w:rsidRPr="00D01EF5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proofErr w:type="spellStart"/>
      <w:r w:rsidR="00D01EF5" w:rsidRPr="00D01EF5">
        <w:rPr>
          <w:rFonts w:asciiTheme="majorBidi" w:hAnsiTheme="majorBidi" w:cstheme="majorBidi"/>
          <w:b/>
          <w:bCs/>
          <w:sz w:val="24"/>
          <w:szCs w:val="24"/>
          <w:lang w:val="fr-FR"/>
        </w:rPr>
        <w:t>për</w:t>
      </w:r>
      <w:proofErr w:type="spellEnd"/>
      <w:r w:rsidR="00D01EF5" w:rsidRPr="00D01EF5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proofErr w:type="spellStart"/>
      <w:r w:rsidR="00D01EF5" w:rsidRPr="00D01EF5">
        <w:rPr>
          <w:rFonts w:asciiTheme="majorBidi" w:hAnsiTheme="majorBidi" w:cstheme="majorBidi"/>
          <w:b/>
          <w:bCs/>
          <w:sz w:val="24"/>
          <w:szCs w:val="24"/>
          <w:lang w:val="fr-FR"/>
        </w:rPr>
        <w:t>përdorim</w:t>
      </w:r>
      <w:proofErr w:type="spellEnd"/>
    </w:p>
    <w:p w14:paraId="37F830BB" w14:textId="77777777" w:rsidR="00E67E61" w:rsidRPr="00E67E61" w:rsidRDefault="00E67E61" w:rsidP="00E67E61">
      <w:pPr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 w:rsidRPr="00E67E61">
        <w:rPr>
          <w:rFonts w:asciiTheme="majorBidi" w:hAnsiTheme="majorBidi" w:cstheme="majorBidi"/>
          <w:sz w:val="24"/>
          <w:szCs w:val="24"/>
          <w:lang w:val="fr-FR"/>
        </w:rPr>
        <w:t>Hipersensitiviteti</w:t>
      </w:r>
      <w:proofErr w:type="spellEnd"/>
    </w:p>
    <w:p w14:paraId="567718BC" w14:textId="29165804" w:rsidR="00E67E61" w:rsidRPr="007877C6" w:rsidRDefault="00E67E61" w:rsidP="00E67E61">
      <w:pPr>
        <w:rPr>
          <w:rFonts w:asciiTheme="majorBidi" w:hAnsiTheme="majorBidi" w:cstheme="majorBidi"/>
          <w:sz w:val="24"/>
          <w:szCs w:val="24"/>
          <w:u w:val="single"/>
          <w:lang w:val="fr-FR"/>
        </w:rPr>
      </w:pPr>
      <w:proofErr w:type="spellStart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>Rastet</w:t>
      </w:r>
      <w:proofErr w:type="spellEnd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e </w:t>
      </w:r>
      <w:proofErr w:type="spellStart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>sindromës</w:t>
      </w:r>
      <w:proofErr w:type="spellEnd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>Kounis</w:t>
      </w:r>
      <w:proofErr w:type="spellEnd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>janë</w:t>
      </w:r>
      <w:proofErr w:type="spellEnd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>raportuar</w:t>
      </w:r>
      <w:proofErr w:type="spellEnd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tek </w:t>
      </w:r>
      <w:proofErr w:type="spellStart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>pacientët</w:t>
      </w:r>
      <w:proofErr w:type="spellEnd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e </w:t>
      </w:r>
      <w:proofErr w:type="spellStart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>trajtuar</w:t>
      </w:r>
      <w:proofErr w:type="spellEnd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me </w:t>
      </w:r>
      <w:proofErr w:type="spellStart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>cefazolinë</w:t>
      </w:r>
      <w:proofErr w:type="spellEnd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. </w:t>
      </w:r>
      <w:proofErr w:type="spellStart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>Sindroma</w:t>
      </w:r>
      <w:proofErr w:type="spellEnd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>Kounis</w:t>
      </w:r>
      <w:proofErr w:type="spellEnd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>është</w:t>
      </w:r>
      <w:proofErr w:type="spellEnd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>përcaktuar</w:t>
      </w:r>
      <w:proofErr w:type="spellEnd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si </w:t>
      </w:r>
      <w:proofErr w:type="spellStart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>simptoma</w:t>
      </w:r>
      <w:proofErr w:type="spellEnd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>kardiovaskulare</w:t>
      </w:r>
      <w:proofErr w:type="spellEnd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>dytësore</w:t>
      </w:r>
      <w:proofErr w:type="spellEnd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>ndaj</w:t>
      </w:r>
      <w:proofErr w:type="spellEnd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>një</w:t>
      </w:r>
      <w:proofErr w:type="spellEnd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>reaksioni</w:t>
      </w:r>
      <w:proofErr w:type="spellEnd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>alergjik</w:t>
      </w:r>
      <w:proofErr w:type="spellEnd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ose </w:t>
      </w:r>
      <w:proofErr w:type="spellStart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>hipersensitiv</w:t>
      </w:r>
      <w:proofErr w:type="spellEnd"/>
      <w:r w:rsidR="007877C6"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>të</w:t>
      </w:r>
      <w:proofErr w:type="spellEnd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>shoqëruar</w:t>
      </w:r>
      <w:proofErr w:type="spellEnd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me </w:t>
      </w:r>
      <w:proofErr w:type="spellStart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>ngushtimin</w:t>
      </w:r>
      <w:proofErr w:type="spellEnd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e </w:t>
      </w:r>
      <w:proofErr w:type="spellStart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>arterieve</w:t>
      </w:r>
      <w:proofErr w:type="spellEnd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>koronare</w:t>
      </w:r>
      <w:proofErr w:type="spellEnd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>dhe</w:t>
      </w:r>
      <w:proofErr w:type="spellEnd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>që</w:t>
      </w:r>
      <w:proofErr w:type="spellEnd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>potencialisht</w:t>
      </w:r>
      <w:proofErr w:type="spellEnd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>çon</w:t>
      </w:r>
      <w:proofErr w:type="spellEnd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>në</w:t>
      </w:r>
      <w:proofErr w:type="spellEnd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>infarkt</w:t>
      </w:r>
      <w:proofErr w:type="spellEnd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>miokardi</w:t>
      </w:r>
      <w:proofErr w:type="spellEnd"/>
      <w:r w:rsidRPr="007877C6">
        <w:rPr>
          <w:rFonts w:asciiTheme="majorBidi" w:hAnsiTheme="majorBidi" w:cstheme="majorBidi"/>
          <w:sz w:val="24"/>
          <w:szCs w:val="24"/>
          <w:u w:val="single"/>
          <w:lang w:val="fr-FR"/>
        </w:rPr>
        <w:t>.</w:t>
      </w:r>
    </w:p>
    <w:p w14:paraId="46E943F7" w14:textId="16F8B535" w:rsidR="00E67E61" w:rsidRPr="007877C6" w:rsidRDefault="007877C6" w:rsidP="000B5332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4.8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Efektet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e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padëshiruara</w:t>
      </w:r>
      <w:proofErr w:type="spellEnd"/>
    </w:p>
    <w:p w14:paraId="3BE54109" w14:textId="77777777" w:rsidR="002D4964" w:rsidRPr="002D4964" w:rsidRDefault="000B5332" w:rsidP="002D4964">
      <w:pPr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 w:rsidRPr="005C06E8">
        <w:rPr>
          <w:rFonts w:asciiTheme="majorBidi" w:hAnsiTheme="majorBidi" w:cstheme="majorBidi"/>
          <w:sz w:val="24"/>
          <w:szCs w:val="24"/>
          <w:lang w:val="fr-FR"/>
        </w:rPr>
        <w:t>Sipas</w:t>
      </w:r>
      <w:proofErr w:type="spellEnd"/>
      <w:r w:rsidRPr="005C06E8">
        <w:rPr>
          <w:rFonts w:asciiTheme="majorBidi" w:hAnsiTheme="majorBidi" w:cstheme="majorBidi"/>
          <w:sz w:val="24"/>
          <w:szCs w:val="24"/>
          <w:lang w:val="fr-FR"/>
        </w:rPr>
        <w:t xml:space="preserve"> SOC </w:t>
      </w:r>
      <w:proofErr w:type="spellStart"/>
      <w:r w:rsidR="002D4964" w:rsidRPr="00311EC6">
        <w:rPr>
          <w:rFonts w:asciiTheme="majorBidi" w:hAnsiTheme="majorBidi" w:cstheme="majorBidi"/>
          <w:sz w:val="24"/>
          <w:szCs w:val="24"/>
          <w:u w:val="single"/>
          <w:lang w:val="fr-FR"/>
        </w:rPr>
        <w:t>Çrregullime</w:t>
      </w:r>
      <w:proofErr w:type="spellEnd"/>
      <w:r w:rsidR="002D4964" w:rsidRPr="00311EC6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="002D4964" w:rsidRPr="00311EC6">
        <w:rPr>
          <w:rFonts w:asciiTheme="majorBidi" w:hAnsiTheme="majorBidi" w:cstheme="majorBidi"/>
          <w:sz w:val="24"/>
          <w:szCs w:val="24"/>
          <w:u w:val="single"/>
          <w:lang w:val="fr-FR"/>
        </w:rPr>
        <w:t>kardiake</w:t>
      </w:r>
      <w:proofErr w:type="spellEnd"/>
      <w:r w:rsidR="002D4964" w:rsidRPr="002D4964">
        <w:rPr>
          <w:rFonts w:asciiTheme="majorBidi" w:hAnsiTheme="majorBidi" w:cstheme="majorBidi"/>
          <w:sz w:val="24"/>
          <w:szCs w:val="24"/>
          <w:lang w:val="fr-FR"/>
        </w:rPr>
        <w:t xml:space="preserve"> me </w:t>
      </w:r>
      <w:proofErr w:type="spellStart"/>
      <w:r w:rsidR="002D4964" w:rsidRPr="002D4964">
        <w:rPr>
          <w:rFonts w:asciiTheme="majorBidi" w:hAnsiTheme="majorBidi" w:cstheme="majorBidi"/>
          <w:sz w:val="24"/>
          <w:szCs w:val="24"/>
          <w:lang w:val="fr-FR"/>
        </w:rPr>
        <w:t>frekuencë</w:t>
      </w:r>
      <w:proofErr w:type="spellEnd"/>
      <w:r w:rsidR="002D4964" w:rsidRPr="002D4964">
        <w:rPr>
          <w:rFonts w:asciiTheme="majorBidi" w:hAnsiTheme="majorBidi" w:cstheme="majorBidi"/>
          <w:sz w:val="24"/>
          <w:szCs w:val="24"/>
          <w:lang w:val="fr-FR"/>
        </w:rPr>
        <w:t xml:space="preserve"> "E </w:t>
      </w:r>
      <w:proofErr w:type="spellStart"/>
      <w:r w:rsidR="002D4964" w:rsidRPr="002D4964">
        <w:rPr>
          <w:rFonts w:asciiTheme="majorBidi" w:hAnsiTheme="majorBidi" w:cstheme="majorBidi"/>
          <w:sz w:val="24"/>
          <w:szCs w:val="24"/>
          <w:lang w:val="fr-FR"/>
        </w:rPr>
        <w:t>panjohur</w:t>
      </w:r>
      <w:proofErr w:type="spellEnd"/>
      <w:r w:rsidR="002D4964" w:rsidRPr="002D4964">
        <w:rPr>
          <w:rFonts w:asciiTheme="majorBidi" w:hAnsiTheme="majorBidi" w:cstheme="majorBidi"/>
          <w:sz w:val="24"/>
          <w:szCs w:val="24"/>
          <w:lang w:val="fr-FR"/>
        </w:rPr>
        <w:t>"</w:t>
      </w:r>
    </w:p>
    <w:p w14:paraId="1D2D8CA1" w14:textId="77777777" w:rsidR="00311EC6" w:rsidRPr="00311EC6" w:rsidRDefault="002D4964" w:rsidP="002D4964">
      <w:pPr>
        <w:jc w:val="both"/>
        <w:rPr>
          <w:rFonts w:asciiTheme="majorBidi" w:hAnsiTheme="majorBidi" w:cstheme="majorBidi"/>
          <w:sz w:val="24"/>
          <w:szCs w:val="24"/>
          <w:u w:val="single"/>
          <w:lang w:val="fr-FR"/>
        </w:rPr>
      </w:pPr>
      <w:proofErr w:type="spellStart"/>
      <w:r w:rsidRPr="00311EC6">
        <w:rPr>
          <w:rFonts w:asciiTheme="majorBidi" w:hAnsiTheme="majorBidi" w:cstheme="majorBidi"/>
          <w:sz w:val="24"/>
          <w:szCs w:val="24"/>
          <w:u w:val="single"/>
          <w:lang w:val="fr-FR"/>
        </w:rPr>
        <w:t>Sindroma</w:t>
      </w:r>
      <w:proofErr w:type="spellEnd"/>
      <w:r w:rsidRPr="00311EC6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311EC6">
        <w:rPr>
          <w:rFonts w:asciiTheme="majorBidi" w:hAnsiTheme="majorBidi" w:cstheme="majorBidi"/>
          <w:sz w:val="24"/>
          <w:szCs w:val="24"/>
          <w:u w:val="single"/>
          <w:lang w:val="fr-FR"/>
        </w:rPr>
        <w:t>Kounis</w:t>
      </w:r>
      <w:proofErr w:type="spellEnd"/>
    </w:p>
    <w:p w14:paraId="5E16AFCB" w14:textId="5063BBEE" w:rsidR="000B5332" w:rsidRPr="005C06E8" w:rsidRDefault="000B5332" w:rsidP="002D4964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proofErr w:type="spellStart"/>
      <w:r w:rsidRPr="005C06E8">
        <w:rPr>
          <w:rFonts w:asciiTheme="majorBidi" w:hAnsiTheme="majorBidi" w:cstheme="majorBidi"/>
          <w:b/>
          <w:bCs/>
          <w:sz w:val="24"/>
          <w:szCs w:val="24"/>
          <w:lang w:val="fr-FR"/>
        </w:rPr>
        <w:t>Fletëdhëzues</w:t>
      </w:r>
      <w:r w:rsidR="005C06E8">
        <w:rPr>
          <w:rFonts w:asciiTheme="majorBidi" w:hAnsiTheme="majorBidi" w:cstheme="majorBidi"/>
          <w:b/>
          <w:bCs/>
          <w:sz w:val="24"/>
          <w:szCs w:val="24"/>
          <w:lang w:val="fr-FR"/>
        </w:rPr>
        <w:t>i</w:t>
      </w:r>
      <w:proofErr w:type="spellEnd"/>
    </w:p>
    <w:p w14:paraId="554160F8" w14:textId="4E0BD6A8" w:rsidR="002B6252" w:rsidRPr="002B6252" w:rsidRDefault="00311EC6" w:rsidP="002B6252">
      <w:pPr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2</w:t>
      </w:r>
      <w:r w:rsidR="002B6252">
        <w:rPr>
          <w:rFonts w:asciiTheme="majorBidi" w:hAnsiTheme="majorBidi" w:cstheme="majorBidi"/>
          <w:sz w:val="24"/>
          <w:szCs w:val="24"/>
          <w:lang w:val="fr-FR"/>
        </w:rPr>
        <w:t>-</w:t>
      </w:r>
      <w:r w:rsidR="002B6252" w:rsidRPr="002B6252">
        <w:rPr>
          <w:rFonts w:asciiTheme="majorBidi" w:hAnsiTheme="majorBidi" w:cstheme="majorBidi"/>
          <w:sz w:val="24"/>
          <w:szCs w:val="24"/>
          <w:lang w:val="fr-FR"/>
        </w:rPr>
        <w:t xml:space="preserve">Çfarë </w:t>
      </w:r>
      <w:proofErr w:type="spellStart"/>
      <w:r w:rsidR="002B6252" w:rsidRPr="002B6252">
        <w:rPr>
          <w:rFonts w:asciiTheme="majorBidi" w:hAnsiTheme="majorBidi" w:cstheme="majorBidi"/>
          <w:sz w:val="24"/>
          <w:szCs w:val="24"/>
          <w:lang w:val="fr-FR"/>
        </w:rPr>
        <w:t>duhet</w:t>
      </w:r>
      <w:proofErr w:type="spellEnd"/>
      <w:r w:rsidR="002B6252" w:rsidRPr="002B6252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2B6252" w:rsidRPr="002B6252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="002B6252" w:rsidRPr="002B6252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2B6252" w:rsidRPr="002B6252">
        <w:rPr>
          <w:rFonts w:asciiTheme="majorBidi" w:hAnsiTheme="majorBidi" w:cstheme="majorBidi"/>
          <w:sz w:val="24"/>
          <w:szCs w:val="24"/>
          <w:lang w:val="fr-FR"/>
        </w:rPr>
        <w:t>dini</w:t>
      </w:r>
      <w:proofErr w:type="spellEnd"/>
      <w:r w:rsidR="002B6252" w:rsidRPr="002B6252">
        <w:rPr>
          <w:rFonts w:asciiTheme="majorBidi" w:hAnsiTheme="majorBidi" w:cstheme="majorBidi"/>
          <w:sz w:val="24"/>
          <w:szCs w:val="24"/>
          <w:lang w:val="fr-FR"/>
        </w:rPr>
        <w:t xml:space="preserve"> para se </w:t>
      </w:r>
      <w:proofErr w:type="spellStart"/>
      <w:r w:rsidR="002B6252" w:rsidRPr="002B6252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="002B6252" w:rsidRPr="002B6252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2B6252" w:rsidRPr="002B6252">
        <w:rPr>
          <w:rFonts w:asciiTheme="majorBidi" w:hAnsiTheme="majorBidi" w:cstheme="majorBidi"/>
          <w:sz w:val="24"/>
          <w:szCs w:val="24"/>
          <w:lang w:val="fr-FR"/>
        </w:rPr>
        <w:t>merrni</w:t>
      </w:r>
      <w:proofErr w:type="spellEnd"/>
      <w:r w:rsidR="002B6252" w:rsidRPr="002B6252">
        <w:rPr>
          <w:rFonts w:asciiTheme="majorBidi" w:hAnsiTheme="majorBidi" w:cstheme="majorBidi"/>
          <w:sz w:val="24"/>
          <w:szCs w:val="24"/>
          <w:lang w:val="fr-FR"/>
        </w:rPr>
        <w:t xml:space="preserve"> &lt;</w:t>
      </w:r>
      <w:proofErr w:type="spellStart"/>
      <w:r w:rsidR="002B6252" w:rsidRPr="002B6252">
        <w:rPr>
          <w:rFonts w:asciiTheme="majorBidi" w:hAnsiTheme="majorBidi" w:cstheme="majorBidi"/>
          <w:sz w:val="24"/>
          <w:szCs w:val="24"/>
          <w:lang w:val="fr-FR"/>
        </w:rPr>
        <w:t>emri</w:t>
      </w:r>
      <w:proofErr w:type="spellEnd"/>
      <w:r w:rsidR="002B6252" w:rsidRPr="002B6252">
        <w:rPr>
          <w:rFonts w:asciiTheme="majorBidi" w:hAnsiTheme="majorBidi" w:cstheme="majorBidi"/>
          <w:sz w:val="24"/>
          <w:szCs w:val="24"/>
          <w:lang w:val="fr-FR"/>
        </w:rPr>
        <w:t xml:space="preserve"> i </w:t>
      </w:r>
      <w:proofErr w:type="spellStart"/>
      <w:r w:rsidR="002B6252" w:rsidRPr="002B6252">
        <w:rPr>
          <w:rFonts w:asciiTheme="majorBidi" w:hAnsiTheme="majorBidi" w:cstheme="majorBidi"/>
          <w:sz w:val="24"/>
          <w:szCs w:val="24"/>
          <w:lang w:val="fr-FR"/>
        </w:rPr>
        <w:t>produktit</w:t>
      </w:r>
      <w:proofErr w:type="spellEnd"/>
      <w:r w:rsidR="002B6252" w:rsidRPr="002B6252">
        <w:rPr>
          <w:rFonts w:asciiTheme="majorBidi" w:hAnsiTheme="majorBidi" w:cstheme="majorBidi"/>
          <w:sz w:val="24"/>
          <w:szCs w:val="24"/>
          <w:lang w:val="fr-FR"/>
        </w:rPr>
        <w:t>&gt;</w:t>
      </w:r>
    </w:p>
    <w:p w14:paraId="4831FB4F" w14:textId="77777777" w:rsidR="002B6252" w:rsidRPr="002B6252" w:rsidRDefault="002B6252" w:rsidP="002B6252">
      <w:pPr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 w:rsidRPr="002B6252">
        <w:rPr>
          <w:rFonts w:asciiTheme="majorBidi" w:hAnsiTheme="majorBidi" w:cstheme="majorBidi"/>
          <w:sz w:val="24"/>
          <w:szCs w:val="24"/>
          <w:lang w:val="fr-FR"/>
        </w:rPr>
        <w:t>Paralajmërime</w:t>
      </w:r>
      <w:proofErr w:type="spellEnd"/>
      <w:r w:rsidRPr="002B6252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2B6252">
        <w:rPr>
          <w:rFonts w:asciiTheme="majorBidi" w:hAnsiTheme="majorBidi" w:cstheme="majorBidi"/>
          <w:sz w:val="24"/>
          <w:szCs w:val="24"/>
          <w:lang w:val="fr-FR"/>
        </w:rPr>
        <w:t>dhe</w:t>
      </w:r>
      <w:proofErr w:type="spellEnd"/>
      <w:r w:rsidRPr="002B6252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2B6252">
        <w:rPr>
          <w:rFonts w:asciiTheme="majorBidi" w:hAnsiTheme="majorBidi" w:cstheme="majorBidi"/>
          <w:sz w:val="24"/>
          <w:szCs w:val="24"/>
          <w:lang w:val="fr-FR"/>
        </w:rPr>
        <w:t>masa</w:t>
      </w:r>
      <w:proofErr w:type="spellEnd"/>
      <w:r w:rsidRPr="002B6252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2B6252">
        <w:rPr>
          <w:rFonts w:asciiTheme="majorBidi" w:hAnsiTheme="majorBidi" w:cstheme="majorBidi"/>
          <w:sz w:val="24"/>
          <w:szCs w:val="24"/>
          <w:lang w:val="fr-FR"/>
        </w:rPr>
        <w:t>paraprake</w:t>
      </w:r>
      <w:proofErr w:type="spellEnd"/>
    </w:p>
    <w:p w14:paraId="50382688" w14:textId="2F137BE2" w:rsidR="002B6252" w:rsidRPr="00E11E32" w:rsidRDefault="002B6252" w:rsidP="00E11E32">
      <w:pPr>
        <w:rPr>
          <w:rFonts w:asciiTheme="majorBidi" w:hAnsiTheme="majorBidi" w:cstheme="majorBidi"/>
          <w:sz w:val="24"/>
          <w:szCs w:val="24"/>
          <w:u w:val="single"/>
          <w:lang w:val="fr-FR"/>
        </w:rPr>
      </w:pP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Shenja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të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një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reaksioni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alergjik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ndaj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këtij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bari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,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duke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përfshirë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probleme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me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frymëmarrjen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dhe</w:t>
      </w:r>
      <w:proofErr w:type="spellEnd"/>
      <w:r w:rsid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dhimbje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në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gjoks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,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janë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raportuar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me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cefazolinën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.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Ndërpritni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menjëherë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cefazolinën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dhe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kontaktoni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menjëherë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mjekun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ose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urgjencat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mjekësore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nëse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vini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re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ndonjë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nga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këto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shenja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.</w:t>
      </w:r>
    </w:p>
    <w:p w14:paraId="152B08F3" w14:textId="10329D59" w:rsidR="002B6252" w:rsidRPr="002B6252" w:rsidRDefault="002B6252" w:rsidP="002B6252">
      <w:pPr>
        <w:rPr>
          <w:rFonts w:asciiTheme="majorBidi" w:hAnsiTheme="majorBidi" w:cstheme="majorBidi"/>
          <w:sz w:val="24"/>
          <w:szCs w:val="24"/>
          <w:lang w:val="fr-FR"/>
        </w:rPr>
      </w:pPr>
      <w:r w:rsidRPr="002B6252">
        <w:rPr>
          <w:rFonts w:asciiTheme="majorBidi" w:hAnsiTheme="majorBidi" w:cstheme="majorBidi"/>
          <w:sz w:val="24"/>
          <w:szCs w:val="24"/>
          <w:lang w:val="fr-FR"/>
        </w:rPr>
        <w:t xml:space="preserve">4 - </w:t>
      </w:r>
      <w:proofErr w:type="spellStart"/>
      <w:r w:rsidRPr="002B6252">
        <w:rPr>
          <w:rFonts w:asciiTheme="majorBidi" w:hAnsiTheme="majorBidi" w:cstheme="majorBidi"/>
          <w:sz w:val="24"/>
          <w:szCs w:val="24"/>
          <w:lang w:val="fr-FR"/>
        </w:rPr>
        <w:t>Efektet</w:t>
      </w:r>
      <w:proofErr w:type="spellEnd"/>
      <w:r w:rsidRPr="002B6252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E11E32" w:rsidRPr="00E11E32">
        <w:rPr>
          <w:rFonts w:asciiTheme="majorBidi" w:hAnsiTheme="majorBidi" w:cstheme="majorBidi"/>
          <w:sz w:val="24"/>
          <w:szCs w:val="24"/>
          <w:lang w:val="fr-FR"/>
        </w:rPr>
        <w:t>padëshiruara</w:t>
      </w:r>
      <w:proofErr w:type="spellEnd"/>
      <w:r w:rsidRPr="002B6252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2B6252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2B6252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2B6252">
        <w:rPr>
          <w:rFonts w:asciiTheme="majorBidi" w:hAnsiTheme="majorBidi" w:cstheme="majorBidi"/>
          <w:sz w:val="24"/>
          <w:szCs w:val="24"/>
          <w:lang w:val="fr-FR"/>
        </w:rPr>
        <w:t>mundshme</w:t>
      </w:r>
      <w:proofErr w:type="spellEnd"/>
    </w:p>
    <w:p w14:paraId="2F030814" w14:textId="75BD8B14" w:rsidR="002B6252" w:rsidRPr="002B6252" w:rsidRDefault="002B6252" w:rsidP="002B6252">
      <w:pPr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 w:rsidRPr="002B6252">
        <w:rPr>
          <w:rFonts w:asciiTheme="majorBidi" w:hAnsiTheme="majorBidi" w:cstheme="majorBidi"/>
          <w:sz w:val="24"/>
          <w:szCs w:val="24"/>
          <w:lang w:val="fr-FR"/>
        </w:rPr>
        <w:t>Efekte</w:t>
      </w:r>
      <w:proofErr w:type="spellEnd"/>
      <w:r w:rsidRPr="002B6252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2B6252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2B6252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2B6252">
        <w:rPr>
          <w:rFonts w:asciiTheme="majorBidi" w:hAnsiTheme="majorBidi" w:cstheme="majorBidi"/>
          <w:sz w:val="24"/>
          <w:szCs w:val="24"/>
          <w:lang w:val="fr-FR"/>
        </w:rPr>
        <w:t>tjera</w:t>
      </w:r>
      <w:proofErr w:type="spellEnd"/>
      <w:r w:rsidRPr="002B6252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E11E32">
        <w:rPr>
          <w:rFonts w:asciiTheme="majorBidi" w:hAnsiTheme="majorBidi" w:cstheme="majorBidi"/>
          <w:sz w:val="24"/>
          <w:szCs w:val="24"/>
          <w:lang w:val="fr-FR"/>
        </w:rPr>
        <w:t xml:space="preserve">e </w:t>
      </w:r>
      <w:proofErr w:type="spellStart"/>
      <w:r w:rsidR="00E11E32" w:rsidRPr="00E11E32">
        <w:rPr>
          <w:rFonts w:asciiTheme="majorBidi" w:hAnsiTheme="majorBidi" w:cstheme="majorBidi"/>
          <w:sz w:val="24"/>
          <w:szCs w:val="24"/>
          <w:lang w:val="fr-FR"/>
        </w:rPr>
        <w:t>padëshiruara</w:t>
      </w:r>
      <w:proofErr w:type="spellEnd"/>
      <w:r w:rsidRPr="002B6252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2B6252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2B6252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2B6252">
        <w:rPr>
          <w:rFonts w:asciiTheme="majorBidi" w:hAnsiTheme="majorBidi" w:cstheme="majorBidi"/>
          <w:sz w:val="24"/>
          <w:szCs w:val="24"/>
          <w:lang w:val="fr-FR"/>
        </w:rPr>
        <w:t>mundshme</w:t>
      </w:r>
      <w:proofErr w:type="spellEnd"/>
    </w:p>
    <w:p w14:paraId="2AF6B9C2" w14:textId="77777777" w:rsidR="00E11E32" w:rsidRPr="00E11E32" w:rsidRDefault="002B6252" w:rsidP="00E11E32">
      <w:pPr>
        <w:spacing w:line="240" w:lineRule="auto"/>
        <w:rPr>
          <w:rFonts w:asciiTheme="majorBidi" w:hAnsiTheme="majorBidi" w:cstheme="majorBidi"/>
          <w:sz w:val="24"/>
          <w:szCs w:val="24"/>
          <w:u w:val="single"/>
          <w:lang w:val="fr-FR"/>
        </w:rPr>
      </w:pPr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Nuk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dihet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(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frekuenca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nuk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mund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të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vlerësohet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nga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të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dhënat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e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disponueshme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)</w:t>
      </w:r>
    </w:p>
    <w:p w14:paraId="19188F96" w14:textId="77777777" w:rsidR="00E11E32" w:rsidRDefault="002B6252" w:rsidP="00E11E32">
      <w:pPr>
        <w:spacing w:line="240" w:lineRule="auto"/>
        <w:rPr>
          <w:rFonts w:asciiTheme="majorBidi" w:hAnsiTheme="majorBidi" w:cstheme="majorBidi"/>
          <w:sz w:val="24"/>
          <w:szCs w:val="24"/>
          <w:u w:val="single"/>
          <w:lang w:val="fr-FR"/>
        </w:rPr>
      </w:pP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Dhimbje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në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gjoks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, e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cila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mund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të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jetë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një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shenjë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e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një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reaksioni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alergjik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potencialisht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serioz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të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quajtur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sindroma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Kounis</w:t>
      </w:r>
      <w:proofErr w:type="spellEnd"/>
      <w:r w:rsidRPr="00E11E32">
        <w:rPr>
          <w:rFonts w:asciiTheme="majorBidi" w:hAnsiTheme="majorBidi" w:cstheme="majorBidi"/>
          <w:sz w:val="24"/>
          <w:szCs w:val="24"/>
          <w:u w:val="single"/>
          <w:lang w:val="fr-FR"/>
        </w:rPr>
        <w:t>.</w:t>
      </w:r>
    </w:p>
    <w:p w14:paraId="69F014D5" w14:textId="77777777" w:rsidR="00691D71" w:rsidRDefault="00691D71" w:rsidP="00E11E32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14:paraId="7DC556DB" w14:textId="77777777" w:rsidR="00691D71" w:rsidRDefault="00691D71" w:rsidP="00E11E32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14:paraId="646E448D" w14:textId="5B5D8FEE" w:rsidR="00691D71" w:rsidRDefault="00691D71" w:rsidP="00E11E32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14:paraId="60969299" w14:textId="77777777" w:rsidR="009C643A" w:rsidRDefault="009C643A" w:rsidP="00E11E32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14:paraId="3F357F07" w14:textId="16A21E3A" w:rsidR="004A3096" w:rsidRDefault="004A3096" w:rsidP="00E11E32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4A3096">
        <w:rPr>
          <w:rFonts w:asciiTheme="majorBidi" w:hAnsiTheme="majorBidi" w:cstheme="majorBidi"/>
          <w:b/>
          <w:bCs/>
          <w:sz w:val="24"/>
          <w:szCs w:val="24"/>
          <w:lang w:val="fr-FR"/>
        </w:rPr>
        <w:lastRenderedPageBreak/>
        <w:t>1.2</w:t>
      </w:r>
      <w:r w:rsidR="002A78EA" w:rsidRPr="00353EDC">
        <w:rPr>
          <w:lang w:val="fr-FR"/>
        </w:rPr>
        <w:t xml:space="preserve"> </w:t>
      </w:r>
      <w:proofErr w:type="spellStart"/>
      <w:r w:rsidR="002A78EA" w:rsidRPr="002A78EA">
        <w:rPr>
          <w:rFonts w:asciiTheme="majorBidi" w:hAnsiTheme="majorBidi" w:cstheme="majorBidi"/>
          <w:b/>
          <w:bCs/>
          <w:sz w:val="24"/>
          <w:szCs w:val="24"/>
          <w:lang w:val="fr-FR"/>
        </w:rPr>
        <w:t>Erdafitinib</w:t>
      </w:r>
      <w:proofErr w:type="spellEnd"/>
      <w:r w:rsidR="002A78EA" w:rsidRPr="002A78EA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– </w:t>
      </w:r>
      <w:proofErr w:type="spellStart"/>
      <w:r w:rsidR="002A78EA" w:rsidRPr="002A78EA">
        <w:rPr>
          <w:rFonts w:asciiTheme="majorBidi" w:hAnsiTheme="majorBidi" w:cstheme="majorBidi"/>
          <w:b/>
          <w:bCs/>
          <w:sz w:val="24"/>
          <w:szCs w:val="24"/>
          <w:lang w:val="fr-FR"/>
        </w:rPr>
        <w:t>Rritja</w:t>
      </w:r>
      <w:proofErr w:type="spellEnd"/>
      <w:r w:rsidR="002A78EA" w:rsidRPr="002A78EA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e </w:t>
      </w:r>
      <w:proofErr w:type="spellStart"/>
      <w:r w:rsidR="002A78EA" w:rsidRPr="002A78EA">
        <w:rPr>
          <w:rFonts w:asciiTheme="majorBidi" w:hAnsiTheme="majorBidi" w:cstheme="majorBidi"/>
          <w:b/>
          <w:bCs/>
          <w:sz w:val="24"/>
          <w:szCs w:val="24"/>
          <w:lang w:val="fr-FR"/>
        </w:rPr>
        <w:t>përshpejtuar</w:t>
      </w:r>
      <w:proofErr w:type="spellEnd"/>
    </w:p>
    <w:p w14:paraId="45500682" w14:textId="51A29ABC" w:rsidR="006A76F9" w:rsidRPr="006A76F9" w:rsidRDefault="006A76F9" w:rsidP="009C643A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proofErr w:type="spellStart"/>
      <w:r w:rsidRPr="006A76F9">
        <w:rPr>
          <w:rFonts w:asciiTheme="majorBidi" w:hAnsiTheme="majorBidi" w:cstheme="majorBidi"/>
          <w:b/>
          <w:bCs/>
          <w:sz w:val="24"/>
          <w:szCs w:val="24"/>
          <w:lang w:val="fr-FR"/>
        </w:rPr>
        <w:t>Rekomandim</w:t>
      </w:r>
      <w:proofErr w:type="spellEnd"/>
      <w:r w:rsidRPr="006A76F9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[</w:t>
      </w:r>
      <w:proofErr w:type="spellStart"/>
      <w:r w:rsidRPr="006A76F9">
        <w:rPr>
          <w:rFonts w:asciiTheme="majorBidi" w:hAnsiTheme="majorBidi" w:cstheme="majorBidi"/>
          <w:b/>
          <w:bCs/>
          <w:sz w:val="24"/>
          <w:szCs w:val="24"/>
          <w:lang w:val="fr-FR"/>
        </w:rPr>
        <w:t>shih</w:t>
      </w:r>
      <w:proofErr w:type="spellEnd"/>
      <w:r w:rsidRPr="006A76F9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proofErr w:type="spellStart"/>
      <w:r w:rsidRPr="006A76F9">
        <w:rPr>
          <w:rFonts w:asciiTheme="majorBidi" w:hAnsiTheme="majorBidi" w:cstheme="majorBidi"/>
          <w:b/>
          <w:bCs/>
          <w:sz w:val="24"/>
          <w:szCs w:val="24"/>
          <w:lang w:val="fr-FR"/>
        </w:rPr>
        <w:t>edhe</w:t>
      </w:r>
      <w:proofErr w:type="spellEnd"/>
      <w:r w:rsidRPr="006A76F9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proofErr w:type="spellStart"/>
      <w:r w:rsidRPr="006A76F9">
        <w:rPr>
          <w:rFonts w:asciiTheme="majorBidi" w:hAnsiTheme="majorBidi" w:cstheme="majorBidi"/>
          <w:b/>
          <w:bCs/>
          <w:sz w:val="24"/>
          <w:szCs w:val="24"/>
          <w:lang w:val="fr-FR"/>
        </w:rPr>
        <w:t>seksionin</w:t>
      </w:r>
      <w:proofErr w:type="spellEnd"/>
      <w:r w:rsidRPr="006A76F9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3]</w:t>
      </w:r>
    </w:p>
    <w:p w14:paraId="00414D6A" w14:textId="77777777" w:rsidR="00656C7C" w:rsidRDefault="006A76F9" w:rsidP="00656C7C">
      <w:pPr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6A76F9">
        <w:rPr>
          <w:rFonts w:asciiTheme="majorBidi" w:hAnsiTheme="majorBidi" w:cstheme="majorBidi"/>
          <w:sz w:val="24"/>
          <w:szCs w:val="24"/>
          <w:lang w:val="fr-FR"/>
        </w:rPr>
        <w:t xml:space="preserve">Pasi ka </w:t>
      </w:r>
      <w:proofErr w:type="spellStart"/>
      <w:r w:rsidRPr="006A76F9">
        <w:rPr>
          <w:rFonts w:asciiTheme="majorBidi" w:hAnsiTheme="majorBidi" w:cstheme="majorBidi"/>
          <w:sz w:val="24"/>
          <w:szCs w:val="24"/>
          <w:lang w:val="fr-FR"/>
        </w:rPr>
        <w:t>marrë</w:t>
      </w:r>
      <w:proofErr w:type="spellEnd"/>
      <w:r w:rsidRPr="006A76F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A76F9">
        <w:rPr>
          <w:rFonts w:asciiTheme="majorBidi" w:hAnsiTheme="majorBidi" w:cstheme="majorBidi"/>
          <w:sz w:val="24"/>
          <w:szCs w:val="24"/>
          <w:lang w:val="fr-FR"/>
        </w:rPr>
        <w:t>në</w:t>
      </w:r>
      <w:proofErr w:type="spellEnd"/>
      <w:r w:rsidRPr="006A76F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A76F9">
        <w:rPr>
          <w:rFonts w:asciiTheme="majorBidi" w:hAnsiTheme="majorBidi" w:cstheme="majorBidi"/>
          <w:sz w:val="24"/>
          <w:szCs w:val="24"/>
          <w:lang w:val="fr-FR"/>
        </w:rPr>
        <w:t>konsideratë</w:t>
      </w:r>
      <w:proofErr w:type="spellEnd"/>
      <w:r w:rsidRPr="006A76F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A76F9">
        <w:rPr>
          <w:rFonts w:asciiTheme="majorBidi" w:hAnsiTheme="majorBidi" w:cstheme="majorBidi"/>
          <w:sz w:val="24"/>
          <w:szCs w:val="24"/>
          <w:lang w:val="fr-FR"/>
        </w:rPr>
        <w:t>provat</w:t>
      </w:r>
      <w:proofErr w:type="spellEnd"/>
      <w:r w:rsidRPr="006A76F9">
        <w:rPr>
          <w:rFonts w:asciiTheme="majorBidi" w:hAnsiTheme="majorBidi" w:cstheme="majorBidi"/>
          <w:sz w:val="24"/>
          <w:szCs w:val="24"/>
          <w:lang w:val="fr-FR"/>
        </w:rPr>
        <w:t xml:space="preserve"> e </w:t>
      </w:r>
      <w:proofErr w:type="spellStart"/>
      <w:r w:rsidRPr="006A76F9">
        <w:rPr>
          <w:rFonts w:asciiTheme="majorBidi" w:hAnsiTheme="majorBidi" w:cstheme="majorBidi"/>
          <w:sz w:val="24"/>
          <w:szCs w:val="24"/>
          <w:lang w:val="fr-FR"/>
        </w:rPr>
        <w:t>disponueshme</w:t>
      </w:r>
      <w:proofErr w:type="spellEnd"/>
      <w:r w:rsidRPr="006A76F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A76F9">
        <w:rPr>
          <w:rFonts w:asciiTheme="majorBidi" w:hAnsiTheme="majorBidi" w:cstheme="majorBidi"/>
          <w:sz w:val="24"/>
          <w:szCs w:val="24"/>
          <w:lang w:val="fr-FR"/>
        </w:rPr>
        <w:t>në</w:t>
      </w:r>
      <w:proofErr w:type="spellEnd"/>
      <w:r w:rsidRPr="006A76F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A76F9">
        <w:rPr>
          <w:rFonts w:asciiTheme="majorBidi" w:hAnsiTheme="majorBidi" w:cstheme="majorBidi"/>
          <w:sz w:val="24"/>
          <w:szCs w:val="24"/>
          <w:lang w:val="fr-FR"/>
        </w:rPr>
        <w:t>EudraVigilance</w:t>
      </w:r>
      <w:proofErr w:type="spellEnd"/>
      <w:r w:rsidRPr="006A76F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A76F9">
        <w:rPr>
          <w:rFonts w:asciiTheme="majorBidi" w:hAnsiTheme="majorBidi" w:cstheme="majorBidi"/>
          <w:sz w:val="24"/>
          <w:szCs w:val="24"/>
          <w:lang w:val="fr-FR"/>
        </w:rPr>
        <w:t>dhe</w:t>
      </w:r>
      <w:proofErr w:type="spellEnd"/>
      <w:r w:rsidRPr="006A76F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A76F9">
        <w:rPr>
          <w:rFonts w:asciiTheme="majorBidi" w:hAnsiTheme="majorBidi" w:cstheme="majorBidi"/>
          <w:sz w:val="24"/>
          <w:szCs w:val="24"/>
          <w:lang w:val="fr-FR"/>
        </w:rPr>
        <w:t>literaturën</w:t>
      </w:r>
      <w:proofErr w:type="spellEnd"/>
      <w:r w:rsidRPr="006A76F9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6A76F9">
        <w:rPr>
          <w:rFonts w:asciiTheme="majorBidi" w:hAnsiTheme="majorBidi" w:cstheme="majorBidi"/>
          <w:sz w:val="24"/>
          <w:szCs w:val="24"/>
          <w:lang w:val="fr-FR"/>
        </w:rPr>
        <w:t>duke</w:t>
      </w:r>
      <w:proofErr w:type="spellEnd"/>
      <w:r w:rsidRPr="006A76F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A76F9">
        <w:rPr>
          <w:rFonts w:asciiTheme="majorBidi" w:hAnsiTheme="majorBidi" w:cstheme="majorBidi"/>
          <w:sz w:val="24"/>
          <w:szCs w:val="24"/>
          <w:lang w:val="fr-FR"/>
        </w:rPr>
        <w:t>përfshirë</w:t>
      </w:r>
      <w:proofErr w:type="spellEnd"/>
      <w:r w:rsidRPr="006A76F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A76F9">
        <w:rPr>
          <w:rFonts w:asciiTheme="majorBidi" w:hAnsiTheme="majorBidi" w:cstheme="majorBidi"/>
          <w:sz w:val="24"/>
          <w:szCs w:val="24"/>
          <w:lang w:val="fr-FR"/>
        </w:rPr>
        <w:t>shqyrtimin</w:t>
      </w:r>
      <w:proofErr w:type="spellEnd"/>
      <w:r w:rsidRPr="006A76F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fr-FR"/>
        </w:rPr>
        <w:t>permbledhes</w:t>
      </w:r>
      <w:proofErr w:type="spellEnd"/>
      <w:r w:rsidRPr="006A76F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A76F9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6A76F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A76F9">
        <w:rPr>
          <w:rFonts w:asciiTheme="majorBidi" w:hAnsiTheme="majorBidi" w:cstheme="majorBidi"/>
          <w:sz w:val="24"/>
          <w:szCs w:val="24"/>
          <w:lang w:val="fr-FR"/>
        </w:rPr>
        <w:t>paraqitur</w:t>
      </w:r>
      <w:proofErr w:type="spellEnd"/>
      <w:r w:rsidRPr="006A76F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A76F9">
        <w:rPr>
          <w:rFonts w:asciiTheme="majorBidi" w:hAnsiTheme="majorBidi" w:cstheme="majorBidi"/>
          <w:sz w:val="24"/>
          <w:szCs w:val="24"/>
          <w:lang w:val="fr-FR"/>
        </w:rPr>
        <w:t>nga</w:t>
      </w:r>
      <w:proofErr w:type="spellEnd"/>
      <w:r w:rsidRPr="006A76F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A76F9">
        <w:rPr>
          <w:rFonts w:asciiTheme="majorBidi" w:hAnsiTheme="majorBidi" w:cstheme="majorBidi"/>
          <w:sz w:val="24"/>
          <w:szCs w:val="24"/>
          <w:lang w:val="fr-FR"/>
        </w:rPr>
        <w:t>Mbajtësi</w:t>
      </w:r>
      <w:proofErr w:type="spellEnd"/>
      <w:r w:rsidRPr="006A76F9">
        <w:rPr>
          <w:rFonts w:asciiTheme="majorBidi" w:hAnsiTheme="majorBidi" w:cstheme="majorBidi"/>
          <w:sz w:val="24"/>
          <w:szCs w:val="24"/>
          <w:lang w:val="fr-FR"/>
        </w:rPr>
        <w:t xml:space="preserve"> i </w:t>
      </w:r>
      <w:proofErr w:type="spellStart"/>
      <w:r w:rsidRPr="006A76F9">
        <w:rPr>
          <w:rFonts w:asciiTheme="majorBidi" w:hAnsiTheme="majorBidi" w:cstheme="majorBidi"/>
          <w:sz w:val="24"/>
          <w:szCs w:val="24"/>
          <w:lang w:val="fr-FR"/>
        </w:rPr>
        <w:t>Autorizimit</w:t>
      </w:r>
      <w:proofErr w:type="spellEnd"/>
      <w:r w:rsidRPr="006A76F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A76F9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6A76F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A76F9">
        <w:rPr>
          <w:rFonts w:asciiTheme="majorBidi" w:hAnsiTheme="majorBidi" w:cstheme="majorBidi"/>
          <w:sz w:val="24"/>
          <w:szCs w:val="24"/>
          <w:lang w:val="fr-FR"/>
        </w:rPr>
        <w:t>Tregtimit</w:t>
      </w:r>
      <w:proofErr w:type="spellEnd"/>
      <w:r w:rsidRPr="006A76F9">
        <w:rPr>
          <w:rFonts w:asciiTheme="majorBidi" w:hAnsiTheme="majorBidi" w:cstheme="majorBidi"/>
          <w:sz w:val="24"/>
          <w:szCs w:val="24"/>
          <w:lang w:val="fr-FR"/>
        </w:rPr>
        <w:t xml:space="preserve"> (MAH), PRAC ka </w:t>
      </w:r>
      <w:proofErr w:type="spellStart"/>
      <w:r w:rsidRPr="006A76F9">
        <w:rPr>
          <w:rFonts w:asciiTheme="majorBidi" w:hAnsiTheme="majorBidi" w:cstheme="majorBidi"/>
          <w:sz w:val="24"/>
          <w:szCs w:val="24"/>
          <w:lang w:val="fr-FR"/>
        </w:rPr>
        <w:t>rënë</w:t>
      </w:r>
      <w:proofErr w:type="spellEnd"/>
      <w:r w:rsidRPr="006A76F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A76F9">
        <w:rPr>
          <w:rFonts w:asciiTheme="majorBidi" w:hAnsiTheme="majorBidi" w:cstheme="majorBidi"/>
          <w:sz w:val="24"/>
          <w:szCs w:val="24"/>
          <w:lang w:val="fr-FR"/>
        </w:rPr>
        <w:t>dakord</w:t>
      </w:r>
      <w:proofErr w:type="spellEnd"/>
      <w:r w:rsidRPr="006A76F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A76F9">
        <w:rPr>
          <w:rFonts w:asciiTheme="majorBidi" w:hAnsiTheme="majorBidi" w:cstheme="majorBidi"/>
          <w:sz w:val="24"/>
          <w:szCs w:val="24"/>
          <w:lang w:val="fr-FR"/>
        </w:rPr>
        <w:t>që</w:t>
      </w:r>
      <w:proofErr w:type="spellEnd"/>
      <w:r w:rsidRPr="006A76F9">
        <w:rPr>
          <w:rFonts w:asciiTheme="majorBidi" w:hAnsiTheme="majorBidi" w:cstheme="majorBidi"/>
          <w:sz w:val="24"/>
          <w:szCs w:val="24"/>
          <w:lang w:val="fr-FR"/>
        </w:rPr>
        <w:t xml:space="preserve"> MAH i </w:t>
      </w:r>
      <w:proofErr w:type="spellStart"/>
      <w:r w:rsidRPr="006A76F9">
        <w:rPr>
          <w:rFonts w:asciiTheme="majorBidi" w:hAnsiTheme="majorBidi" w:cstheme="majorBidi"/>
          <w:sz w:val="24"/>
          <w:szCs w:val="24"/>
          <w:lang w:val="fr-FR"/>
        </w:rPr>
        <w:t>Balversa</w:t>
      </w:r>
      <w:proofErr w:type="spellEnd"/>
      <w:r w:rsidRPr="006A76F9">
        <w:rPr>
          <w:rFonts w:asciiTheme="majorBidi" w:hAnsiTheme="majorBidi" w:cstheme="majorBidi"/>
          <w:sz w:val="24"/>
          <w:szCs w:val="24"/>
          <w:lang w:val="fr-FR"/>
        </w:rPr>
        <w:t xml:space="preserve">, Janssen-Cilag International N.V., </w:t>
      </w:r>
      <w:proofErr w:type="spellStart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duhet</w:t>
      </w:r>
      <w:proofErr w:type="spellEnd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të</w:t>
      </w:r>
      <w:proofErr w:type="spellEnd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paraqesin</w:t>
      </w:r>
      <w:proofErr w:type="spellEnd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një</w:t>
      </w:r>
      <w:proofErr w:type="spellEnd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variacion</w:t>
      </w:r>
      <w:proofErr w:type="spellEnd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sipas</w:t>
      </w:r>
      <w:proofErr w:type="spellEnd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legjislacionit</w:t>
      </w:r>
      <w:proofErr w:type="spellEnd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në</w:t>
      </w:r>
      <w:proofErr w:type="spellEnd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fuqi</w:t>
      </w:r>
      <w:proofErr w:type="spellEnd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në</w:t>
      </w:r>
      <w:proofErr w:type="spellEnd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Republikën</w:t>
      </w:r>
      <w:proofErr w:type="spellEnd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e </w:t>
      </w:r>
      <w:proofErr w:type="spellStart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Shqipërisë</w:t>
      </w:r>
      <w:proofErr w:type="spellEnd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, </w:t>
      </w:r>
      <w:proofErr w:type="spellStart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për</w:t>
      </w:r>
      <w:proofErr w:type="spellEnd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të</w:t>
      </w:r>
      <w:proofErr w:type="spellEnd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ndryshuar</w:t>
      </w:r>
      <w:proofErr w:type="spellEnd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informacionin</w:t>
      </w:r>
      <w:proofErr w:type="spellEnd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e </w:t>
      </w:r>
      <w:proofErr w:type="spellStart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produktit</w:t>
      </w:r>
      <w:proofErr w:type="spellEnd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siç</w:t>
      </w:r>
      <w:proofErr w:type="spellEnd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përshkruhet</w:t>
      </w:r>
      <w:proofErr w:type="spellEnd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më</w:t>
      </w:r>
      <w:proofErr w:type="spellEnd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poshtë</w:t>
      </w:r>
      <w:proofErr w:type="spellEnd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(</w:t>
      </w:r>
      <w:proofErr w:type="spellStart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teksti</w:t>
      </w:r>
      <w:proofErr w:type="spellEnd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i ri i </w:t>
      </w:r>
      <w:proofErr w:type="spellStart"/>
      <w:proofErr w:type="gramStart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nënvizuar</w:t>
      </w:r>
      <w:proofErr w:type="spellEnd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)</w:t>
      </w:r>
      <w:proofErr w:type="gramEnd"/>
      <w:r w:rsidR="00656C7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: </w:t>
      </w:r>
    </w:p>
    <w:p w14:paraId="3F7CACEC" w14:textId="77777777" w:rsidR="000F3307" w:rsidRPr="000F3307" w:rsidRDefault="000F3307" w:rsidP="000F3307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proofErr w:type="spellStart"/>
      <w:r w:rsidRPr="000F3307">
        <w:rPr>
          <w:rFonts w:asciiTheme="majorBidi" w:hAnsiTheme="majorBidi" w:cstheme="majorBidi"/>
          <w:b/>
          <w:bCs/>
          <w:sz w:val="24"/>
          <w:szCs w:val="24"/>
          <w:lang w:val="fr-FR"/>
        </w:rPr>
        <w:t>Përmbledhje</w:t>
      </w:r>
      <w:proofErr w:type="spellEnd"/>
      <w:r w:rsidRPr="000F330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e </w:t>
      </w:r>
      <w:proofErr w:type="spellStart"/>
      <w:r w:rsidRPr="000F3307">
        <w:rPr>
          <w:rFonts w:asciiTheme="majorBidi" w:hAnsiTheme="majorBidi" w:cstheme="majorBidi"/>
          <w:b/>
          <w:bCs/>
          <w:sz w:val="24"/>
          <w:szCs w:val="24"/>
          <w:lang w:val="fr-FR"/>
        </w:rPr>
        <w:t>karakteristikave</w:t>
      </w:r>
      <w:proofErr w:type="spellEnd"/>
      <w:r w:rsidRPr="000F330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proofErr w:type="spellStart"/>
      <w:r w:rsidRPr="000F3307">
        <w:rPr>
          <w:rFonts w:asciiTheme="majorBidi" w:hAnsiTheme="majorBidi" w:cstheme="majorBidi"/>
          <w:b/>
          <w:bCs/>
          <w:sz w:val="24"/>
          <w:szCs w:val="24"/>
          <w:lang w:val="fr-FR"/>
        </w:rPr>
        <w:t>të</w:t>
      </w:r>
      <w:proofErr w:type="spellEnd"/>
      <w:r w:rsidRPr="000F330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proofErr w:type="spellStart"/>
      <w:r w:rsidRPr="000F3307">
        <w:rPr>
          <w:rFonts w:asciiTheme="majorBidi" w:hAnsiTheme="majorBidi" w:cstheme="majorBidi"/>
          <w:b/>
          <w:bCs/>
          <w:sz w:val="24"/>
          <w:szCs w:val="24"/>
          <w:lang w:val="fr-FR"/>
        </w:rPr>
        <w:t>produktit</w:t>
      </w:r>
      <w:proofErr w:type="spellEnd"/>
    </w:p>
    <w:p w14:paraId="587F84CD" w14:textId="1A879D42" w:rsidR="000F3307" w:rsidRPr="000F3307" w:rsidRDefault="000F3307" w:rsidP="000F3307">
      <w:pPr>
        <w:rPr>
          <w:rFonts w:asciiTheme="majorBidi" w:hAnsiTheme="majorBidi" w:cstheme="majorBidi"/>
          <w:sz w:val="24"/>
          <w:szCs w:val="24"/>
          <w:lang w:val="fr-FR"/>
        </w:rPr>
      </w:pPr>
      <w:r w:rsidRPr="000F3307">
        <w:rPr>
          <w:rFonts w:asciiTheme="majorBidi" w:hAnsiTheme="majorBidi" w:cstheme="majorBidi"/>
          <w:sz w:val="24"/>
          <w:szCs w:val="24"/>
          <w:lang w:val="fr-FR"/>
        </w:rPr>
        <w:t xml:space="preserve">4.2 </w:t>
      </w:r>
      <w:proofErr w:type="spellStart"/>
      <w:r w:rsidRPr="000F3307">
        <w:rPr>
          <w:rFonts w:asciiTheme="majorBidi" w:hAnsiTheme="majorBidi" w:cstheme="majorBidi"/>
          <w:sz w:val="24"/>
          <w:szCs w:val="24"/>
          <w:lang w:val="fr-FR"/>
        </w:rPr>
        <w:t>Dozimi</w:t>
      </w:r>
      <w:proofErr w:type="spellEnd"/>
      <w:r w:rsidRPr="000F330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0F3307">
        <w:rPr>
          <w:rFonts w:asciiTheme="majorBidi" w:hAnsiTheme="majorBidi" w:cstheme="majorBidi"/>
          <w:sz w:val="24"/>
          <w:szCs w:val="24"/>
          <w:lang w:val="fr-FR"/>
        </w:rPr>
        <w:t>dhe</w:t>
      </w:r>
      <w:proofErr w:type="spellEnd"/>
      <w:r w:rsidRPr="000F330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0F3307">
        <w:rPr>
          <w:rFonts w:asciiTheme="majorBidi" w:hAnsiTheme="majorBidi" w:cstheme="majorBidi"/>
          <w:sz w:val="24"/>
          <w:szCs w:val="24"/>
          <w:lang w:val="fr-FR"/>
        </w:rPr>
        <w:t>mënyra</w:t>
      </w:r>
      <w:proofErr w:type="spellEnd"/>
      <w:r w:rsidRPr="000F3307">
        <w:rPr>
          <w:rFonts w:asciiTheme="majorBidi" w:hAnsiTheme="majorBidi" w:cstheme="majorBidi"/>
          <w:sz w:val="24"/>
          <w:szCs w:val="24"/>
          <w:lang w:val="fr-FR"/>
        </w:rPr>
        <w:t xml:space="preserve"> e </w:t>
      </w:r>
      <w:proofErr w:type="spellStart"/>
      <w:r w:rsidRPr="000F3307">
        <w:rPr>
          <w:rFonts w:asciiTheme="majorBidi" w:hAnsiTheme="majorBidi" w:cstheme="majorBidi"/>
          <w:sz w:val="24"/>
          <w:szCs w:val="24"/>
          <w:lang w:val="fr-FR"/>
        </w:rPr>
        <w:t>administrimit</w:t>
      </w:r>
      <w:proofErr w:type="spellEnd"/>
    </w:p>
    <w:p w14:paraId="11059BE4" w14:textId="6FAF6F4D" w:rsidR="000F3307" w:rsidRPr="000F3307" w:rsidRDefault="000F3307" w:rsidP="000F3307">
      <w:pPr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 w:rsidRPr="000F3307">
        <w:rPr>
          <w:rFonts w:asciiTheme="majorBidi" w:hAnsiTheme="majorBidi" w:cstheme="majorBidi"/>
          <w:sz w:val="24"/>
          <w:szCs w:val="24"/>
          <w:lang w:val="fr-FR"/>
        </w:rPr>
        <w:t>Popullata</w:t>
      </w:r>
      <w:proofErr w:type="spellEnd"/>
      <w:r w:rsidRPr="000F330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0F3307">
        <w:rPr>
          <w:rFonts w:asciiTheme="majorBidi" w:hAnsiTheme="majorBidi" w:cstheme="majorBidi"/>
          <w:sz w:val="24"/>
          <w:szCs w:val="24"/>
          <w:lang w:val="fr-FR"/>
        </w:rPr>
        <w:t>pediatrike</w:t>
      </w:r>
      <w:proofErr w:type="spellEnd"/>
    </w:p>
    <w:p w14:paraId="49CA6CE1" w14:textId="1F3A21EB" w:rsidR="001865DD" w:rsidRPr="00515E4A" w:rsidRDefault="000F3307" w:rsidP="000F3307">
      <w:pPr>
        <w:jc w:val="both"/>
        <w:rPr>
          <w:rFonts w:asciiTheme="majorBidi" w:hAnsiTheme="majorBidi" w:cstheme="majorBidi"/>
          <w:sz w:val="24"/>
          <w:szCs w:val="24"/>
          <w:u w:val="single"/>
          <w:lang w:val="fr-FR"/>
        </w:rPr>
      </w:pPr>
      <w:r w:rsidRPr="000F3307">
        <w:rPr>
          <w:rFonts w:asciiTheme="majorBidi" w:hAnsiTheme="majorBidi" w:cstheme="majorBidi"/>
          <w:sz w:val="24"/>
          <w:szCs w:val="24"/>
          <w:lang w:val="fr-FR"/>
        </w:rPr>
        <w:t xml:space="preserve">Nuk ka </w:t>
      </w:r>
      <w:proofErr w:type="spellStart"/>
      <w:r w:rsidRPr="000F3307">
        <w:rPr>
          <w:rFonts w:asciiTheme="majorBidi" w:hAnsiTheme="majorBidi" w:cstheme="majorBidi"/>
          <w:sz w:val="24"/>
          <w:szCs w:val="24"/>
          <w:lang w:val="fr-FR"/>
        </w:rPr>
        <w:t>përdorim</w:t>
      </w:r>
      <w:proofErr w:type="spellEnd"/>
      <w:r w:rsidRPr="000F330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0F3307">
        <w:rPr>
          <w:rFonts w:asciiTheme="majorBidi" w:hAnsiTheme="majorBidi" w:cstheme="majorBidi"/>
          <w:sz w:val="24"/>
          <w:szCs w:val="24"/>
          <w:lang w:val="fr-FR"/>
        </w:rPr>
        <w:t>përkatës</w:t>
      </w:r>
      <w:proofErr w:type="spellEnd"/>
      <w:r w:rsidRPr="000F330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0F3307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0F330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0F3307">
        <w:rPr>
          <w:rFonts w:asciiTheme="majorBidi" w:hAnsiTheme="majorBidi" w:cstheme="majorBidi"/>
          <w:sz w:val="24"/>
          <w:szCs w:val="24"/>
          <w:lang w:val="fr-FR"/>
        </w:rPr>
        <w:t>erdafitinibit</w:t>
      </w:r>
      <w:proofErr w:type="spellEnd"/>
      <w:r w:rsidRPr="000F330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0F3307">
        <w:rPr>
          <w:rFonts w:asciiTheme="majorBidi" w:hAnsiTheme="majorBidi" w:cstheme="majorBidi"/>
          <w:sz w:val="24"/>
          <w:szCs w:val="24"/>
          <w:lang w:val="fr-FR"/>
        </w:rPr>
        <w:t>në</w:t>
      </w:r>
      <w:proofErr w:type="spellEnd"/>
      <w:r w:rsidRPr="000F330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0F3307">
        <w:rPr>
          <w:rFonts w:asciiTheme="majorBidi" w:hAnsiTheme="majorBidi" w:cstheme="majorBidi"/>
          <w:sz w:val="24"/>
          <w:szCs w:val="24"/>
          <w:lang w:val="fr-FR"/>
        </w:rPr>
        <w:t>popullatën</w:t>
      </w:r>
      <w:proofErr w:type="spellEnd"/>
      <w:r w:rsidRPr="000F330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0F3307">
        <w:rPr>
          <w:rFonts w:asciiTheme="majorBidi" w:hAnsiTheme="majorBidi" w:cstheme="majorBidi"/>
          <w:sz w:val="24"/>
          <w:szCs w:val="24"/>
          <w:lang w:val="fr-FR"/>
        </w:rPr>
        <w:t>pediatrike</w:t>
      </w:r>
      <w:proofErr w:type="spellEnd"/>
      <w:r w:rsidRPr="000F330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0F3307">
        <w:rPr>
          <w:rFonts w:asciiTheme="majorBidi" w:hAnsiTheme="majorBidi" w:cstheme="majorBidi"/>
          <w:sz w:val="24"/>
          <w:szCs w:val="24"/>
          <w:lang w:val="fr-FR"/>
        </w:rPr>
        <w:t>për</w:t>
      </w:r>
      <w:proofErr w:type="spellEnd"/>
      <w:r w:rsidRPr="000F330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0F3307">
        <w:rPr>
          <w:rFonts w:asciiTheme="majorBidi" w:hAnsiTheme="majorBidi" w:cstheme="majorBidi"/>
          <w:sz w:val="24"/>
          <w:szCs w:val="24"/>
          <w:lang w:val="fr-FR"/>
        </w:rPr>
        <w:t>trajtimin</w:t>
      </w:r>
      <w:proofErr w:type="spellEnd"/>
      <w:r w:rsidRPr="000F3307">
        <w:rPr>
          <w:rFonts w:asciiTheme="majorBidi" w:hAnsiTheme="majorBidi" w:cstheme="majorBidi"/>
          <w:sz w:val="24"/>
          <w:szCs w:val="24"/>
          <w:lang w:val="fr-FR"/>
        </w:rPr>
        <w:t xml:space="preserve"> e </w:t>
      </w:r>
      <w:proofErr w:type="spellStart"/>
      <w:r w:rsidRPr="000F3307">
        <w:rPr>
          <w:rFonts w:asciiTheme="majorBidi" w:hAnsiTheme="majorBidi" w:cstheme="majorBidi"/>
          <w:sz w:val="24"/>
          <w:szCs w:val="24"/>
          <w:lang w:val="fr-FR"/>
        </w:rPr>
        <w:t>karcinomës</w:t>
      </w:r>
      <w:proofErr w:type="spellEnd"/>
      <w:r w:rsidRPr="000F330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0F3307">
        <w:rPr>
          <w:rFonts w:asciiTheme="majorBidi" w:hAnsiTheme="majorBidi" w:cstheme="majorBidi"/>
          <w:sz w:val="24"/>
          <w:szCs w:val="24"/>
          <w:lang w:val="fr-FR"/>
        </w:rPr>
        <w:t>uroteliale</w:t>
      </w:r>
      <w:proofErr w:type="spellEnd"/>
      <w:r w:rsidRPr="000F3307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proofErr w:type="spellStart"/>
      <w:r w:rsidRPr="00515E4A">
        <w:rPr>
          <w:rFonts w:asciiTheme="majorBidi" w:hAnsiTheme="majorBidi" w:cstheme="majorBidi"/>
          <w:sz w:val="24"/>
          <w:szCs w:val="24"/>
          <w:u w:val="single"/>
          <w:lang w:val="fr-FR"/>
        </w:rPr>
        <w:t>Siguria</w:t>
      </w:r>
      <w:proofErr w:type="spellEnd"/>
      <w:r w:rsidRPr="00515E4A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515E4A">
        <w:rPr>
          <w:rFonts w:asciiTheme="majorBidi" w:hAnsiTheme="majorBidi" w:cstheme="majorBidi"/>
          <w:sz w:val="24"/>
          <w:szCs w:val="24"/>
          <w:u w:val="single"/>
          <w:lang w:val="fr-FR"/>
        </w:rPr>
        <w:t>dhe</w:t>
      </w:r>
      <w:proofErr w:type="spellEnd"/>
      <w:r w:rsidRPr="00515E4A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515E4A">
        <w:rPr>
          <w:rFonts w:asciiTheme="majorBidi" w:hAnsiTheme="majorBidi" w:cstheme="majorBidi"/>
          <w:sz w:val="24"/>
          <w:szCs w:val="24"/>
          <w:u w:val="single"/>
          <w:lang w:val="fr-FR"/>
        </w:rPr>
        <w:t>efikasiteti</w:t>
      </w:r>
      <w:proofErr w:type="spellEnd"/>
      <w:r w:rsidRPr="00515E4A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i </w:t>
      </w:r>
      <w:proofErr w:type="spellStart"/>
      <w:r w:rsidRPr="00515E4A">
        <w:rPr>
          <w:rFonts w:asciiTheme="majorBidi" w:hAnsiTheme="majorBidi" w:cstheme="majorBidi"/>
          <w:sz w:val="24"/>
          <w:szCs w:val="24"/>
          <w:u w:val="single"/>
          <w:lang w:val="fr-FR"/>
        </w:rPr>
        <w:t>erdafitinibit</w:t>
      </w:r>
      <w:proofErr w:type="spellEnd"/>
      <w:r w:rsidRPr="00515E4A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tek </w:t>
      </w:r>
      <w:proofErr w:type="spellStart"/>
      <w:r w:rsidRPr="00515E4A">
        <w:rPr>
          <w:rFonts w:asciiTheme="majorBidi" w:hAnsiTheme="majorBidi" w:cstheme="majorBidi"/>
          <w:sz w:val="24"/>
          <w:szCs w:val="24"/>
          <w:u w:val="single"/>
          <w:lang w:val="fr-FR"/>
        </w:rPr>
        <w:t>pacientët</w:t>
      </w:r>
      <w:proofErr w:type="spellEnd"/>
      <w:r w:rsidRPr="00515E4A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515E4A">
        <w:rPr>
          <w:rFonts w:asciiTheme="majorBidi" w:hAnsiTheme="majorBidi" w:cstheme="majorBidi"/>
          <w:sz w:val="24"/>
          <w:szCs w:val="24"/>
          <w:u w:val="single"/>
          <w:lang w:val="fr-FR"/>
        </w:rPr>
        <w:t>pediatrikë</w:t>
      </w:r>
      <w:proofErr w:type="spellEnd"/>
      <w:r w:rsidRPr="00515E4A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(&lt;18 </w:t>
      </w:r>
      <w:proofErr w:type="spellStart"/>
      <w:r w:rsidRPr="00515E4A">
        <w:rPr>
          <w:rFonts w:asciiTheme="majorBidi" w:hAnsiTheme="majorBidi" w:cstheme="majorBidi"/>
          <w:sz w:val="24"/>
          <w:szCs w:val="24"/>
          <w:u w:val="single"/>
          <w:lang w:val="fr-FR"/>
        </w:rPr>
        <w:t>vjeç</w:t>
      </w:r>
      <w:proofErr w:type="spellEnd"/>
      <w:r w:rsidRPr="00515E4A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) </w:t>
      </w:r>
      <w:proofErr w:type="spellStart"/>
      <w:r w:rsidRPr="00515E4A">
        <w:rPr>
          <w:rFonts w:asciiTheme="majorBidi" w:hAnsiTheme="majorBidi" w:cstheme="majorBidi"/>
          <w:sz w:val="24"/>
          <w:szCs w:val="24"/>
          <w:u w:val="single"/>
          <w:lang w:val="fr-FR"/>
        </w:rPr>
        <w:t>nuk</w:t>
      </w:r>
      <w:proofErr w:type="spellEnd"/>
      <w:r w:rsidRPr="00515E4A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515E4A">
        <w:rPr>
          <w:rFonts w:asciiTheme="majorBidi" w:hAnsiTheme="majorBidi" w:cstheme="majorBidi"/>
          <w:sz w:val="24"/>
          <w:szCs w:val="24"/>
          <w:u w:val="single"/>
          <w:lang w:val="fr-FR"/>
        </w:rPr>
        <w:t>janë</w:t>
      </w:r>
      <w:proofErr w:type="spellEnd"/>
      <w:r w:rsidRPr="00515E4A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515E4A">
        <w:rPr>
          <w:rFonts w:asciiTheme="majorBidi" w:hAnsiTheme="majorBidi" w:cstheme="majorBidi"/>
          <w:sz w:val="24"/>
          <w:szCs w:val="24"/>
          <w:u w:val="single"/>
          <w:lang w:val="fr-FR"/>
        </w:rPr>
        <w:t>përcaktuar</w:t>
      </w:r>
      <w:proofErr w:type="spellEnd"/>
      <w:r w:rsidRPr="00515E4A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. </w:t>
      </w:r>
      <w:proofErr w:type="spellStart"/>
      <w:r w:rsidRPr="00515E4A">
        <w:rPr>
          <w:rFonts w:asciiTheme="majorBidi" w:hAnsiTheme="majorBidi" w:cstheme="majorBidi"/>
          <w:sz w:val="24"/>
          <w:szCs w:val="24"/>
          <w:u w:val="single"/>
          <w:lang w:val="fr-FR"/>
        </w:rPr>
        <w:t>Të</w:t>
      </w:r>
      <w:proofErr w:type="spellEnd"/>
      <w:r w:rsidRPr="00515E4A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515E4A">
        <w:rPr>
          <w:rFonts w:asciiTheme="majorBidi" w:hAnsiTheme="majorBidi" w:cstheme="majorBidi"/>
          <w:sz w:val="24"/>
          <w:szCs w:val="24"/>
          <w:u w:val="single"/>
          <w:lang w:val="fr-FR"/>
        </w:rPr>
        <w:t>dhënat</w:t>
      </w:r>
      <w:proofErr w:type="spellEnd"/>
      <w:r w:rsidRPr="00515E4A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e </w:t>
      </w:r>
      <w:proofErr w:type="spellStart"/>
      <w:r w:rsidRPr="00515E4A">
        <w:rPr>
          <w:rFonts w:asciiTheme="majorBidi" w:hAnsiTheme="majorBidi" w:cstheme="majorBidi"/>
          <w:sz w:val="24"/>
          <w:szCs w:val="24"/>
          <w:u w:val="single"/>
          <w:lang w:val="fr-FR"/>
        </w:rPr>
        <w:t>sigurisë</w:t>
      </w:r>
      <w:proofErr w:type="spellEnd"/>
      <w:r w:rsidRPr="00515E4A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515E4A">
        <w:rPr>
          <w:rFonts w:asciiTheme="majorBidi" w:hAnsiTheme="majorBidi" w:cstheme="majorBidi"/>
          <w:sz w:val="24"/>
          <w:szCs w:val="24"/>
          <w:u w:val="single"/>
          <w:lang w:val="fr-FR"/>
        </w:rPr>
        <w:t>që</w:t>
      </w:r>
      <w:proofErr w:type="spellEnd"/>
      <w:r w:rsidRPr="00515E4A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515E4A">
        <w:rPr>
          <w:rFonts w:asciiTheme="majorBidi" w:hAnsiTheme="majorBidi" w:cstheme="majorBidi"/>
          <w:sz w:val="24"/>
          <w:szCs w:val="24"/>
          <w:u w:val="single"/>
          <w:lang w:val="fr-FR"/>
        </w:rPr>
        <w:t>janë</w:t>
      </w:r>
      <w:proofErr w:type="spellEnd"/>
      <w:r w:rsidRPr="00515E4A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515E4A">
        <w:rPr>
          <w:rFonts w:asciiTheme="majorBidi" w:hAnsiTheme="majorBidi" w:cstheme="majorBidi"/>
          <w:sz w:val="24"/>
          <w:szCs w:val="24"/>
          <w:u w:val="single"/>
          <w:lang w:val="fr-FR"/>
        </w:rPr>
        <w:t>aktualisht</w:t>
      </w:r>
      <w:proofErr w:type="spellEnd"/>
      <w:r w:rsidRPr="00515E4A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515E4A">
        <w:rPr>
          <w:rFonts w:asciiTheme="majorBidi" w:hAnsiTheme="majorBidi" w:cstheme="majorBidi"/>
          <w:sz w:val="24"/>
          <w:szCs w:val="24"/>
          <w:u w:val="single"/>
          <w:lang w:val="fr-FR"/>
        </w:rPr>
        <w:t>në</w:t>
      </w:r>
      <w:proofErr w:type="spellEnd"/>
      <w:r w:rsidRPr="00515E4A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515E4A">
        <w:rPr>
          <w:rFonts w:asciiTheme="majorBidi" w:hAnsiTheme="majorBidi" w:cstheme="majorBidi"/>
          <w:sz w:val="24"/>
          <w:szCs w:val="24"/>
          <w:u w:val="single"/>
          <w:lang w:val="fr-FR"/>
        </w:rPr>
        <w:t>dispozicion</w:t>
      </w:r>
      <w:proofErr w:type="spellEnd"/>
      <w:r w:rsidRPr="00515E4A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515E4A">
        <w:rPr>
          <w:rFonts w:asciiTheme="majorBidi" w:hAnsiTheme="majorBidi" w:cstheme="majorBidi"/>
          <w:sz w:val="24"/>
          <w:szCs w:val="24"/>
          <w:u w:val="single"/>
          <w:lang w:val="fr-FR"/>
        </w:rPr>
        <w:t>përshkruhen</w:t>
      </w:r>
      <w:proofErr w:type="spellEnd"/>
      <w:r w:rsidRPr="00515E4A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515E4A">
        <w:rPr>
          <w:rFonts w:asciiTheme="majorBidi" w:hAnsiTheme="majorBidi" w:cstheme="majorBidi"/>
          <w:sz w:val="24"/>
          <w:szCs w:val="24"/>
          <w:u w:val="single"/>
          <w:lang w:val="fr-FR"/>
        </w:rPr>
        <w:t>në</w:t>
      </w:r>
      <w:proofErr w:type="spellEnd"/>
      <w:r w:rsidRPr="00515E4A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515E4A">
        <w:rPr>
          <w:rFonts w:asciiTheme="majorBidi" w:hAnsiTheme="majorBidi" w:cstheme="majorBidi"/>
          <w:sz w:val="24"/>
          <w:szCs w:val="24"/>
          <w:u w:val="single"/>
          <w:lang w:val="fr-FR"/>
        </w:rPr>
        <w:t>seksionin</w:t>
      </w:r>
      <w:proofErr w:type="spellEnd"/>
      <w:r w:rsidRPr="00515E4A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4.8.</w:t>
      </w:r>
    </w:p>
    <w:p w14:paraId="41281143" w14:textId="77777777" w:rsidR="00515E4A" w:rsidRPr="007877C6" w:rsidRDefault="00515E4A" w:rsidP="00515E4A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4.8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Efektet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e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padëshiruara</w:t>
      </w:r>
      <w:proofErr w:type="spellEnd"/>
    </w:p>
    <w:p w14:paraId="5380D62D" w14:textId="18568AF5" w:rsidR="00F32DD2" w:rsidRPr="0070230C" w:rsidRDefault="00F32DD2" w:rsidP="0070230C">
      <w:pPr>
        <w:rPr>
          <w:rFonts w:asciiTheme="majorBidi" w:hAnsiTheme="majorBidi" w:cstheme="majorBidi"/>
          <w:sz w:val="24"/>
          <w:szCs w:val="24"/>
          <w:lang w:val="fr-FR"/>
        </w:rPr>
      </w:pPr>
      <w:r w:rsidRPr="0070230C">
        <w:rPr>
          <w:rFonts w:asciiTheme="majorBidi" w:hAnsiTheme="majorBidi" w:cstheme="majorBidi"/>
          <w:sz w:val="24"/>
          <w:szCs w:val="24"/>
          <w:lang w:val="fr-FR"/>
        </w:rPr>
        <w:t>(</w:t>
      </w:r>
      <w:proofErr w:type="spellStart"/>
      <w:proofErr w:type="gramStart"/>
      <w:r w:rsidRPr="0070230C">
        <w:rPr>
          <w:rFonts w:asciiTheme="majorBidi" w:hAnsiTheme="majorBidi" w:cstheme="majorBidi"/>
          <w:sz w:val="24"/>
          <w:szCs w:val="24"/>
          <w:lang w:val="fr-FR"/>
        </w:rPr>
        <w:t>nën</w:t>
      </w:r>
      <w:proofErr w:type="spellEnd"/>
      <w:proofErr w:type="gramEnd"/>
      <w:r w:rsidRPr="0070230C">
        <w:rPr>
          <w:rFonts w:asciiTheme="majorBidi" w:hAnsiTheme="majorBidi" w:cstheme="majorBidi"/>
          <w:sz w:val="24"/>
          <w:szCs w:val="24"/>
          <w:lang w:val="fr-FR"/>
        </w:rPr>
        <w:t xml:space="preserve"> '</w:t>
      </w:r>
      <w:proofErr w:type="spellStart"/>
      <w:r w:rsidRPr="0070230C">
        <w:rPr>
          <w:rFonts w:asciiTheme="majorBidi" w:hAnsiTheme="majorBidi" w:cstheme="majorBidi"/>
          <w:sz w:val="24"/>
          <w:szCs w:val="24"/>
          <w:lang w:val="fr-FR"/>
        </w:rPr>
        <w:t>Përshkrimi</w:t>
      </w:r>
      <w:proofErr w:type="spellEnd"/>
      <w:r w:rsidRPr="0070230C">
        <w:rPr>
          <w:rFonts w:asciiTheme="majorBidi" w:hAnsiTheme="majorBidi" w:cstheme="majorBidi"/>
          <w:sz w:val="24"/>
          <w:szCs w:val="24"/>
          <w:lang w:val="fr-FR"/>
        </w:rPr>
        <w:t xml:space="preserve"> i </w:t>
      </w:r>
      <w:proofErr w:type="spellStart"/>
      <w:r w:rsidRPr="0070230C">
        <w:rPr>
          <w:rFonts w:asciiTheme="majorBidi" w:hAnsiTheme="majorBidi" w:cstheme="majorBidi"/>
          <w:sz w:val="24"/>
          <w:szCs w:val="24"/>
          <w:lang w:val="fr-FR"/>
        </w:rPr>
        <w:t>efekteve</w:t>
      </w:r>
      <w:proofErr w:type="spellEnd"/>
      <w:r w:rsidRPr="0070230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70230C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70230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70230C">
        <w:rPr>
          <w:rFonts w:asciiTheme="majorBidi" w:hAnsiTheme="majorBidi" w:cstheme="majorBidi"/>
          <w:sz w:val="24"/>
          <w:szCs w:val="24"/>
          <w:lang w:val="fr-FR"/>
        </w:rPr>
        <w:t>padëshiruara</w:t>
      </w:r>
      <w:proofErr w:type="spellEnd"/>
      <w:r w:rsidRPr="0070230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70230C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70230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70230C">
        <w:rPr>
          <w:rFonts w:asciiTheme="majorBidi" w:hAnsiTheme="majorBidi" w:cstheme="majorBidi"/>
          <w:sz w:val="24"/>
          <w:szCs w:val="24"/>
          <w:lang w:val="fr-FR"/>
        </w:rPr>
        <w:t>zgjedhura</w:t>
      </w:r>
      <w:proofErr w:type="spellEnd"/>
      <w:r w:rsidRPr="0070230C">
        <w:rPr>
          <w:rFonts w:asciiTheme="majorBidi" w:hAnsiTheme="majorBidi" w:cstheme="majorBidi"/>
          <w:sz w:val="24"/>
          <w:szCs w:val="24"/>
          <w:lang w:val="fr-FR"/>
        </w:rPr>
        <w:t xml:space="preserve">' </w:t>
      </w:r>
      <w:proofErr w:type="spellStart"/>
      <w:r w:rsidRPr="0070230C">
        <w:rPr>
          <w:rFonts w:asciiTheme="majorBidi" w:hAnsiTheme="majorBidi" w:cstheme="majorBidi"/>
          <w:sz w:val="24"/>
          <w:szCs w:val="24"/>
          <w:lang w:val="fr-FR"/>
        </w:rPr>
        <w:t>dhe</w:t>
      </w:r>
      <w:proofErr w:type="spellEnd"/>
      <w:r w:rsidRPr="0070230C">
        <w:rPr>
          <w:rFonts w:asciiTheme="majorBidi" w:hAnsiTheme="majorBidi" w:cstheme="majorBidi"/>
          <w:sz w:val="24"/>
          <w:szCs w:val="24"/>
          <w:lang w:val="fr-FR"/>
        </w:rPr>
        <w:t xml:space="preserve"> pas </w:t>
      </w:r>
      <w:proofErr w:type="spellStart"/>
      <w:r w:rsidRPr="0070230C">
        <w:rPr>
          <w:rFonts w:asciiTheme="majorBidi" w:hAnsiTheme="majorBidi" w:cstheme="majorBidi"/>
          <w:sz w:val="24"/>
          <w:szCs w:val="24"/>
          <w:lang w:val="fr-FR"/>
        </w:rPr>
        <w:t>paragrafit</w:t>
      </w:r>
      <w:proofErr w:type="spellEnd"/>
      <w:r w:rsidRPr="0070230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70230C">
        <w:rPr>
          <w:rFonts w:asciiTheme="majorBidi" w:hAnsiTheme="majorBidi" w:cstheme="majorBidi"/>
          <w:sz w:val="24"/>
          <w:szCs w:val="24"/>
          <w:lang w:val="fr-FR"/>
        </w:rPr>
        <w:t>mbi</w:t>
      </w:r>
      <w:proofErr w:type="spellEnd"/>
      <w:r w:rsidRPr="0070230C">
        <w:rPr>
          <w:rFonts w:asciiTheme="majorBidi" w:hAnsiTheme="majorBidi" w:cstheme="majorBidi"/>
          <w:sz w:val="24"/>
          <w:szCs w:val="24"/>
          <w:lang w:val="fr-FR"/>
        </w:rPr>
        <w:t xml:space="preserve"> '</w:t>
      </w:r>
      <w:proofErr w:type="spellStart"/>
      <w:r w:rsidRPr="0070230C">
        <w:rPr>
          <w:rFonts w:asciiTheme="majorBidi" w:hAnsiTheme="majorBidi" w:cstheme="majorBidi"/>
          <w:sz w:val="24"/>
          <w:szCs w:val="24"/>
          <w:lang w:val="fr-FR"/>
        </w:rPr>
        <w:t>Gjetjet</w:t>
      </w:r>
      <w:proofErr w:type="spellEnd"/>
      <w:r w:rsidRPr="0070230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70230C">
        <w:rPr>
          <w:rFonts w:asciiTheme="majorBidi" w:hAnsiTheme="majorBidi" w:cstheme="majorBidi"/>
          <w:sz w:val="24"/>
          <w:szCs w:val="24"/>
          <w:lang w:val="fr-FR"/>
        </w:rPr>
        <w:t>jonormale</w:t>
      </w:r>
      <w:proofErr w:type="spellEnd"/>
      <w:r w:rsidRPr="0070230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70230C">
        <w:rPr>
          <w:rFonts w:asciiTheme="majorBidi" w:hAnsiTheme="majorBidi" w:cstheme="majorBidi"/>
          <w:sz w:val="24"/>
          <w:szCs w:val="24"/>
          <w:lang w:val="fr-FR"/>
        </w:rPr>
        <w:t>laboratorike</w:t>
      </w:r>
      <w:proofErr w:type="spellEnd"/>
      <w:r w:rsidRPr="0070230C">
        <w:rPr>
          <w:rFonts w:asciiTheme="majorBidi" w:hAnsiTheme="majorBidi" w:cstheme="majorBidi"/>
          <w:sz w:val="24"/>
          <w:szCs w:val="24"/>
          <w:lang w:val="fr-FR"/>
        </w:rPr>
        <w:t>')</w:t>
      </w:r>
    </w:p>
    <w:p w14:paraId="339A4D95" w14:textId="5396C336" w:rsidR="00F32DD2" w:rsidRPr="0070230C" w:rsidRDefault="00F32DD2" w:rsidP="0070230C">
      <w:pPr>
        <w:rPr>
          <w:rFonts w:asciiTheme="majorBidi" w:hAnsiTheme="majorBidi" w:cstheme="majorBidi"/>
          <w:sz w:val="24"/>
          <w:szCs w:val="24"/>
          <w:u w:val="single"/>
          <w:lang w:val="fr-FR"/>
        </w:rPr>
      </w:pPr>
      <w:proofErr w:type="spellStart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>Popullata</w:t>
      </w:r>
      <w:proofErr w:type="spellEnd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>pediatrike</w:t>
      </w:r>
      <w:proofErr w:type="spellEnd"/>
    </w:p>
    <w:p w14:paraId="5D8012EE" w14:textId="262F6F41" w:rsidR="001865DD" w:rsidRDefault="00F32DD2" w:rsidP="0070230C">
      <w:pPr>
        <w:rPr>
          <w:rFonts w:asciiTheme="majorBidi" w:hAnsiTheme="majorBidi" w:cstheme="majorBidi"/>
          <w:sz w:val="24"/>
          <w:szCs w:val="24"/>
          <w:u w:val="single"/>
          <w:lang w:val="fr-FR"/>
        </w:rPr>
      </w:pPr>
      <w:proofErr w:type="spellStart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>Përshpejtimi</w:t>
      </w:r>
      <w:proofErr w:type="spellEnd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i </w:t>
      </w:r>
      <w:proofErr w:type="spellStart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>rritjes</w:t>
      </w:r>
      <w:proofErr w:type="spellEnd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>dhe</w:t>
      </w:r>
      <w:proofErr w:type="spellEnd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>epifizioliza</w:t>
      </w:r>
      <w:proofErr w:type="spellEnd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e </w:t>
      </w:r>
      <w:proofErr w:type="spellStart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>kokës</w:t>
      </w:r>
      <w:proofErr w:type="spellEnd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>femorale</w:t>
      </w:r>
      <w:proofErr w:type="spellEnd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>janë</w:t>
      </w:r>
      <w:proofErr w:type="spellEnd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>raportuar</w:t>
      </w:r>
      <w:proofErr w:type="spellEnd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te </w:t>
      </w:r>
      <w:proofErr w:type="spellStart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>pacientët</w:t>
      </w:r>
      <w:proofErr w:type="spellEnd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>pediatrikë</w:t>
      </w:r>
      <w:proofErr w:type="spellEnd"/>
      <w:r w:rsidR="0070230C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(&lt;18 </w:t>
      </w:r>
      <w:proofErr w:type="spellStart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>vjeç</w:t>
      </w:r>
      <w:proofErr w:type="spellEnd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) </w:t>
      </w:r>
      <w:proofErr w:type="spellStart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>që</w:t>
      </w:r>
      <w:proofErr w:type="spellEnd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>kanë</w:t>
      </w:r>
      <w:proofErr w:type="spellEnd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>marrë</w:t>
      </w:r>
      <w:proofErr w:type="spellEnd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>erdafitinib</w:t>
      </w:r>
      <w:proofErr w:type="spellEnd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>në</w:t>
      </w:r>
      <w:proofErr w:type="spellEnd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>provat</w:t>
      </w:r>
      <w:proofErr w:type="spellEnd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>klinike</w:t>
      </w:r>
      <w:proofErr w:type="spellEnd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>jashtë</w:t>
      </w:r>
      <w:proofErr w:type="spellEnd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>indikacionit</w:t>
      </w:r>
      <w:proofErr w:type="spellEnd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>të</w:t>
      </w:r>
      <w:proofErr w:type="spellEnd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>autorizuar</w:t>
      </w:r>
      <w:proofErr w:type="spellEnd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>dhe</w:t>
      </w:r>
      <w:proofErr w:type="spellEnd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>jashtë</w:t>
      </w:r>
      <w:proofErr w:type="spellEnd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>etiketës</w:t>
      </w:r>
      <w:proofErr w:type="spellEnd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>në</w:t>
      </w:r>
      <w:proofErr w:type="spellEnd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>mjedisin</w:t>
      </w:r>
      <w:proofErr w:type="spellEnd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pas </w:t>
      </w:r>
      <w:proofErr w:type="spellStart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>marketingut</w:t>
      </w:r>
      <w:proofErr w:type="spellEnd"/>
      <w:r w:rsidRPr="0070230C">
        <w:rPr>
          <w:rFonts w:asciiTheme="majorBidi" w:hAnsiTheme="majorBidi" w:cstheme="majorBidi"/>
          <w:sz w:val="24"/>
          <w:szCs w:val="24"/>
          <w:u w:val="single"/>
          <w:lang w:val="fr-FR"/>
        </w:rPr>
        <w:t>.</w:t>
      </w:r>
    </w:p>
    <w:p w14:paraId="0E635BDF" w14:textId="2E8081AC" w:rsidR="00BF29D6" w:rsidRPr="00BF29D6" w:rsidRDefault="0070230C" w:rsidP="00BF29D6">
      <w:pPr>
        <w:rPr>
          <w:rFonts w:asciiTheme="majorBidi" w:hAnsiTheme="majorBidi" w:cstheme="majorBidi"/>
          <w:sz w:val="24"/>
          <w:szCs w:val="24"/>
          <w:lang w:val="fr-FR"/>
        </w:rPr>
      </w:pPr>
      <w:r w:rsidRPr="00BF29D6">
        <w:rPr>
          <w:rFonts w:asciiTheme="majorBidi" w:hAnsiTheme="majorBidi" w:cstheme="majorBidi"/>
          <w:sz w:val="24"/>
          <w:szCs w:val="24"/>
          <w:lang w:val="fr-FR"/>
        </w:rPr>
        <w:t>5.1</w:t>
      </w:r>
      <w:r w:rsidR="00BF29D6" w:rsidRPr="00BF29D6">
        <w:rPr>
          <w:lang w:val="fr-FR"/>
        </w:rPr>
        <w:t xml:space="preserve"> </w:t>
      </w:r>
      <w:proofErr w:type="spellStart"/>
      <w:r w:rsidR="00BF29D6" w:rsidRPr="00BF29D6">
        <w:rPr>
          <w:rFonts w:asciiTheme="majorBidi" w:hAnsiTheme="majorBidi" w:cstheme="majorBidi"/>
          <w:sz w:val="24"/>
          <w:szCs w:val="24"/>
          <w:lang w:val="fr-FR"/>
        </w:rPr>
        <w:t>Vetitë</w:t>
      </w:r>
      <w:proofErr w:type="spellEnd"/>
      <w:r w:rsidR="00BF29D6" w:rsidRPr="00BF29D6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BF29D6" w:rsidRPr="00BF29D6">
        <w:rPr>
          <w:rFonts w:asciiTheme="majorBidi" w:hAnsiTheme="majorBidi" w:cstheme="majorBidi"/>
          <w:sz w:val="24"/>
          <w:szCs w:val="24"/>
          <w:lang w:val="fr-FR"/>
        </w:rPr>
        <w:t>farmakodinamike</w:t>
      </w:r>
      <w:proofErr w:type="spellEnd"/>
    </w:p>
    <w:p w14:paraId="14C82672" w14:textId="77777777" w:rsidR="00BF29D6" w:rsidRPr="00BF29D6" w:rsidRDefault="00BF29D6" w:rsidP="00BF29D6">
      <w:pPr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 w:rsidRPr="00BF29D6">
        <w:rPr>
          <w:rFonts w:asciiTheme="majorBidi" w:hAnsiTheme="majorBidi" w:cstheme="majorBidi"/>
          <w:sz w:val="24"/>
          <w:szCs w:val="24"/>
          <w:lang w:val="fr-FR"/>
        </w:rPr>
        <w:t>Popullata</w:t>
      </w:r>
      <w:proofErr w:type="spellEnd"/>
      <w:r w:rsidRPr="00BF29D6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BF29D6">
        <w:rPr>
          <w:rFonts w:asciiTheme="majorBidi" w:hAnsiTheme="majorBidi" w:cstheme="majorBidi"/>
          <w:sz w:val="24"/>
          <w:szCs w:val="24"/>
          <w:lang w:val="fr-FR"/>
        </w:rPr>
        <w:t>pediatrike</w:t>
      </w:r>
      <w:proofErr w:type="spellEnd"/>
    </w:p>
    <w:p w14:paraId="19A70717" w14:textId="618F6698" w:rsidR="0070230C" w:rsidRPr="00BF29D6" w:rsidRDefault="00BF29D6" w:rsidP="00167754">
      <w:pPr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 w:rsidRPr="00BF29D6">
        <w:rPr>
          <w:rFonts w:asciiTheme="majorBidi" w:hAnsiTheme="majorBidi" w:cstheme="majorBidi"/>
          <w:sz w:val="24"/>
          <w:szCs w:val="24"/>
          <w:lang w:val="fr-FR"/>
        </w:rPr>
        <w:t>Agjencia</w:t>
      </w:r>
      <w:proofErr w:type="spellEnd"/>
      <w:r w:rsidRPr="00BF29D6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BF29D6">
        <w:rPr>
          <w:rFonts w:asciiTheme="majorBidi" w:hAnsiTheme="majorBidi" w:cstheme="majorBidi"/>
          <w:sz w:val="24"/>
          <w:szCs w:val="24"/>
          <w:lang w:val="fr-FR"/>
        </w:rPr>
        <w:t>Evropiane</w:t>
      </w:r>
      <w:proofErr w:type="spellEnd"/>
      <w:r w:rsidRPr="00BF29D6">
        <w:rPr>
          <w:rFonts w:asciiTheme="majorBidi" w:hAnsiTheme="majorBidi" w:cstheme="majorBidi"/>
          <w:sz w:val="24"/>
          <w:szCs w:val="24"/>
          <w:lang w:val="fr-FR"/>
        </w:rPr>
        <w:t xml:space="preserve"> e Barnave ka </w:t>
      </w:r>
      <w:proofErr w:type="spellStart"/>
      <w:r w:rsidRPr="00BF29D6">
        <w:rPr>
          <w:rFonts w:asciiTheme="majorBidi" w:hAnsiTheme="majorBidi" w:cstheme="majorBidi"/>
          <w:sz w:val="24"/>
          <w:szCs w:val="24"/>
          <w:lang w:val="fr-FR"/>
        </w:rPr>
        <w:t>hequr</w:t>
      </w:r>
      <w:proofErr w:type="spellEnd"/>
      <w:r w:rsidRPr="00BF29D6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BF29D6">
        <w:rPr>
          <w:rFonts w:asciiTheme="majorBidi" w:hAnsiTheme="majorBidi" w:cstheme="majorBidi"/>
          <w:sz w:val="24"/>
          <w:szCs w:val="24"/>
          <w:lang w:val="fr-FR"/>
        </w:rPr>
        <w:t>dorë</w:t>
      </w:r>
      <w:proofErr w:type="spellEnd"/>
      <w:r w:rsidRPr="00BF29D6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BF29D6">
        <w:rPr>
          <w:rFonts w:asciiTheme="majorBidi" w:hAnsiTheme="majorBidi" w:cstheme="majorBidi"/>
          <w:sz w:val="24"/>
          <w:szCs w:val="24"/>
          <w:lang w:val="fr-FR"/>
        </w:rPr>
        <w:t>nga</w:t>
      </w:r>
      <w:proofErr w:type="spellEnd"/>
      <w:r w:rsidRPr="00BF29D6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BF29D6">
        <w:rPr>
          <w:rFonts w:asciiTheme="majorBidi" w:hAnsiTheme="majorBidi" w:cstheme="majorBidi"/>
          <w:sz w:val="24"/>
          <w:szCs w:val="24"/>
          <w:lang w:val="fr-FR"/>
        </w:rPr>
        <w:t>detyrimi</w:t>
      </w:r>
      <w:proofErr w:type="spellEnd"/>
      <w:r w:rsidRPr="00BF29D6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BF29D6">
        <w:rPr>
          <w:rFonts w:asciiTheme="majorBidi" w:hAnsiTheme="majorBidi" w:cstheme="majorBidi"/>
          <w:sz w:val="24"/>
          <w:szCs w:val="24"/>
          <w:lang w:val="fr-FR"/>
        </w:rPr>
        <w:t>për</w:t>
      </w:r>
      <w:proofErr w:type="spellEnd"/>
      <w:r w:rsidRPr="00BF29D6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BF29D6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BF29D6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BF29D6">
        <w:rPr>
          <w:rFonts w:asciiTheme="majorBidi" w:hAnsiTheme="majorBidi" w:cstheme="majorBidi"/>
          <w:sz w:val="24"/>
          <w:szCs w:val="24"/>
          <w:lang w:val="fr-FR"/>
        </w:rPr>
        <w:t>paraqitur</w:t>
      </w:r>
      <w:proofErr w:type="spellEnd"/>
      <w:r w:rsidRPr="00BF29D6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BF29D6">
        <w:rPr>
          <w:rFonts w:asciiTheme="majorBidi" w:hAnsiTheme="majorBidi" w:cstheme="majorBidi"/>
          <w:sz w:val="24"/>
          <w:szCs w:val="24"/>
          <w:lang w:val="fr-FR"/>
        </w:rPr>
        <w:t>rezultatet</w:t>
      </w:r>
      <w:proofErr w:type="spellEnd"/>
      <w:r w:rsidRPr="00BF29D6">
        <w:rPr>
          <w:rFonts w:asciiTheme="majorBidi" w:hAnsiTheme="majorBidi" w:cstheme="majorBidi"/>
          <w:sz w:val="24"/>
          <w:szCs w:val="24"/>
          <w:lang w:val="fr-FR"/>
        </w:rPr>
        <w:t xml:space="preserve"> e </w:t>
      </w:r>
      <w:proofErr w:type="spellStart"/>
      <w:r w:rsidRPr="00BF29D6">
        <w:rPr>
          <w:rFonts w:asciiTheme="majorBidi" w:hAnsiTheme="majorBidi" w:cstheme="majorBidi"/>
          <w:sz w:val="24"/>
          <w:szCs w:val="24"/>
          <w:lang w:val="fr-FR"/>
        </w:rPr>
        <w:t>studimeve</w:t>
      </w:r>
      <w:proofErr w:type="spellEnd"/>
      <w:r w:rsidRPr="00BF29D6">
        <w:rPr>
          <w:rFonts w:asciiTheme="majorBidi" w:hAnsiTheme="majorBidi" w:cstheme="majorBidi"/>
          <w:sz w:val="24"/>
          <w:szCs w:val="24"/>
          <w:lang w:val="fr-FR"/>
        </w:rPr>
        <w:t xml:space="preserve"> me</w:t>
      </w:r>
      <w:r w:rsidR="0016775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BF29D6">
        <w:rPr>
          <w:rFonts w:asciiTheme="majorBidi" w:hAnsiTheme="majorBidi" w:cstheme="majorBidi"/>
          <w:sz w:val="24"/>
          <w:szCs w:val="24"/>
          <w:lang w:val="fr-FR"/>
        </w:rPr>
        <w:t>erdafitinib</w:t>
      </w:r>
      <w:proofErr w:type="spellEnd"/>
      <w:r w:rsidRPr="00BF29D6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BF29D6">
        <w:rPr>
          <w:rFonts w:asciiTheme="majorBidi" w:hAnsiTheme="majorBidi" w:cstheme="majorBidi"/>
          <w:sz w:val="24"/>
          <w:szCs w:val="24"/>
          <w:lang w:val="fr-FR"/>
        </w:rPr>
        <w:t>në</w:t>
      </w:r>
      <w:proofErr w:type="spellEnd"/>
      <w:r w:rsidRPr="00BF29D6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BF29D6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BF29D6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BF29D6">
        <w:rPr>
          <w:rFonts w:asciiTheme="majorBidi" w:hAnsiTheme="majorBidi" w:cstheme="majorBidi"/>
          <w:sz w:val="24"/>
          <w:szCs w:val="24"/>
          <w:lang w:val="fr-FR"/>
        </w:rPr>
        <w:t>gjitha</w:t>
      </w:r>
      <w:proofErr w:type="spellEnd"/>
      <w:r w:rsidRPr="00BF29D6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BF29D6">
        <w:rPr>
          <w:rFonts w:asciiTheme="majorBidi" w:hAnsiTheme="majorBidi" w:cstheme="majorBidi"/>
          <w:sz w:val="24"/>
          <w:szCs w:val="24"/>
          <w:lang w:val="fr-FR"/>
        </w:rPr>
        <w:t>nëngrupet</w:t>
      </w:r>
      <w:proofErr w:type="spellEnd"/>
      <w:r w:rsidRPr="00BF29D6">
        <w:rPr>
          <w:rFonts w:asciiTheme="majorBidi" w:hAnsiTheme="majorBidi" w:cstheme="majorBidi"/>
          <w:sz w:val="24"/>
          <w:szCs w:val="24"/>
          <w:lang w:val="fr-FR"/>
        </w:rPr>
        <w:t xml:space="preserve"> e </w:t>
      </w:r>
      <w:proofErr w:type="spellStart"/>
      <w:r w:rsidRPr="00BF29D6">
        <w:rPr>
          <w:rFonts w:asciiTheme="majorBidi" w:hAnsiTheme="majorBidi" w:cstheme="majorBidi"/>
          <w:sz w:val="24"/>
          <w:szCs w:val="24"/>
          <w:lang w:val="fr-FR"/>
        </w:rPr>
        <w:t>popullatës</w:t>
      </w:r>
      <w:proofErr w:type="spellEnd"/>
      <w:r w:rsidRPr="00BF29D6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BF29D6">
        <w:rPr>
          <w:rFonts w:asciiTheme="majorBidi" w:hAnsiTheme="majorBidi" w:cstheme="majorBidi"/>
          <w:sz w:val="24"/>
          <w:szCs w:val="24"/>
          <w:lang w:val="fr-FR"/>
        </w:rPr>
        <w:t>pediatrike</w:t>
      </w:r>
      <w:proofErr w:type="spellEnd"/>
      <w:r w:rsidRPr="00BF29D6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BF29D6">
        <w:rPr>
          <w:rFonts w:asciiTheme="majorBidi" w:hAnsiTheme="majorBidi" w:cstheme="majorBidi"/>
          <w:sz w:val="24"/>
          <w:szCs w:val="24"/>
          <w:lang w:val="fr-FR"/>
        </w:rPr>
        <w:t>në</w:t>
      </w:r>
      <w:proofErr w:type="spellEnd"/>
      <w:r w:rsidRPr="00BF29D6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BF29D6">
        <w:rPr>
          <w:rFonts w:asciiTheme="majorBidi" w:hAnsiTheme="majorBidi" w:cstheme="majorBidi"/>
          <w:sz w:val="24"/>
          <w:szCs w:val="24"/>
          <w:lang w:val="fr-FR"/>
        </w:rPr>
        <w:t>karcinomën</w:t>
      </w:r>
      <w:proofErr w:type="spellEnd"/>
      <w:r w:rsidRPr="00BF29D6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BF29D6">
        <w:rPr>
          <w:rFonts w:asciiTheme="majorBidi" w:hAnsiTheme="majorBidi" w:cstheme="majorBidi"/>
          <w:sz w:val="24"/>
          <w:szCs w:val="24"/>
          <w:lang w:val="fr-FR"/>
        </w:rPr>
        <w:t>uroteliale</w:t>
      </w:r>
      <w:proofErr w:type="spellEnd"/>
      <w:r w:rsidRPr="00BF29D6">
        <w:rPr>
          <w:rFonts w:asciiTheme="majorBidi" w:hAnsiTheme="majorBidi" w:cstheme="majorBidi"/>
          <w:sz w:val="24"/>
          <w:szCs w:val="24"/>
          <w:lang w:val="fr-FR"/>
        </w:rPr>
        <w:t xml:space="preserve"> (</w:t>
      </w:r>
      <w:proofErr w:type="spellStart"/>
      <w:r w:rsidRPr="00BF29D6">
        <w:rPr>
          <w:rFonts w:asciiTheme="majorBidi" w:hAnsiTheme="majorBidi" w:cstheme="majorBidi"/>
          <w:sz w:val="24"/>
          <w:szCs w:val="24"/>
          <w:lang w:val="fr-FR"/>
        </w:rPr>
        <w:t>shih</w:t>
      </w:r>
      <w:proofErr w:type="spellEnd"/>
      <w:r w:rsidRPr="00BF29D6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BF29D6">
        <w:rPr>
          <w:rFonts w:asciiTheme="majorBidi" w:hAnsiTheme="majorBidi" w:cstheme="majorBidi"/>
          <w:sz w:val="24"/>
          <w:szCs w:val="24"/>
          <w:lang w:val="fr-FR"/>
        </w:rPr>
        <w:t>seksionet</w:t>
      </w:r>
      <w:proofErr w:type="spellEnd"/>
      <w:r w:rsidRPr="00BF29D6">
        <w:rPr>
          <w:rFonts w:asciiTheme="majorBidi" w:hAnsiTheme="majorBidi" w:cstheme="majorBidi"/>
          <w:sz w:val="24"/>
          <w:szCs w:val="24"/>
          <w:lang w:val="fr-FR"/>
        </w:rPr>
        <w:t xml:space="preserve"> 4.2 </w:t>
      </w:r>
      <w:proofErr w:type="spellStart"/>
      <w:r w:rsidRPr="00BF29D6">
        <w:rPr>
          <w:rFonts w:asciiTheme="majorBidi" w:hAnsiTheme="majorBidi" w:cstheme="majorBidi"/>
          <w:sz w:val="24"/>
          <w:szCs w:val="24"/>
          <w:lang w:val="fr-FR"/>
        </w:rPr>
        <w:t>dhe</w:t>
      </w:r>
      <w:proofErr w:type="spellEnd"/>
      <w:r w:rsidRPr="00BF29D6">
        <w:rPr>
          <w:rFonts w:asciiTheme="majorBidi" w:hAnsiTheme="majorBidi" w:cstheme="majorBidi"/>
          <w:sz w:val="24"/>
          <w:szCs w:val="24"/>
          <w:lang w:val="fr-FR"/>
        </w:rPr>
        <w:t xml:space="preserve"> 4.8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BF29D6">
        <w:rPr>
          <w:rFonts w:asciiTheme="majorBidi" w:hAnsiTheme="majorBidi" w:cstheme="majorBidi"/>
          <w:sz w:val="24"/>
          <w:szCs w:val="24"/>
          <w:lang w:val="fr-FR"/>
        </w:rPr>
        <w:t>për</w:t>
      </w:r>
      <w:proofErr w:type="spellEnd"/>
      <w:r w:rsidRPr="00BF29D6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BF29D6">
        <w:rPr>
          <w:rFonts w:asciiTheme="majorBidi" w:hAnsiTheme="majorBidi" w:cstheme="majorBidi"/>
          <w:sz w:val="24"/>
          <w:szCs w:val="24"/>
          <w:lang w:val="fr-FR"/>
        </w:rPr>
        <w:t>informacion</w:t>
      </w:r>
      <w:proofErr w:type="spellEnd"/>
      <w:r w:rsidRPr="00BF29D6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BF29D6">
        <w:rPr>
          <w:rFonts w:asciiTheme="majorBidi" w:hAnsiTheme="majorBidi" w:cstheme="majorBidi"/>
          <w:sz w:val="24"/>
          <w:szCs w:val="24"/>
          <w:lang w:val="fr-FR"/>
        </w:rPr>
        <w:t>mbi</w:t>
      </w:r>
      <w:proofErr w:type="spellEnd"/>
      <w:r w:rsidRPr="00BF29D6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BF29D6">
        <w:rPr>
          <w:rFonts w:asciiTheme="majorBidi" w:hAnsiTheme="majorBidi" w:cstheme="majorBidi"/>
          <w:sz w:val="24"/>
          <w:szCs w:val="24"/>
          <w:lang w:val="fr-FR"/>
        </w:rPr>
        <w:t>përdorimin</w:t>
      </w:r>
      <w:proofErr w:type="spellEnd"/>
      <w:r w:rsidRPr="00BF29D6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BF29D6">
        <w:rPr>
          <w:rFonts w:asciiTheme="majorBidi" w:hAnsiTheme="majorBidi" w:cstheme="majorBidi"/>
          <w:sz w:val="24"/>
          <w:szCs w:val="24"/>
          <w:lang w:val="fr-FR"/>
        </w:rPr>
        <w:t>pediatrik</w:t>
      </w:r>
      <w:proofErr w:type="spellEnd"/>
      <w:r w:rsidRPr="00BF29D6">
        <w:rPr>
          <w:rFonts w:asciiTheme="majorBidi" w:hAnsiTheme="majorBidi" w:cstheme="majorBidi"/>
          <w:sz w:val="24"/>
          <w:szCs w:val="24"/>
          <w:lang w:val="fr-FR"/>
        </w:rPr>
        <w:t>).</w:t>
      </w:r>
    </w:p>
    <w:p w14:paraId="56101E7C" w14:textId="77777777" w:rsidR="00167754" w:rsidRPr="005C06E8" w:rsidRDefault="00167754" w:rsidP="00167754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proofErr w:type="spellStart"/>
      <w:r w:rsidRPr="005C06E8">
        <w:rPr>
          <w:rFonts w:asciiTheme="majorBidi" w:hAnsiTheme="majorBidi" w:cstheme="majorBidi"/>
          <w:b/>
          <w:bCs/>
          <w:sz w:val="24"/>
          <w:szCs w:val="24"/>
          <w:lang w:val="fr-FR"/>
        </w:rPr>
        <w:t>Fletëdhëzues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i</w:t>
      </w:r>
      <w:proofErr w:type="spellEnd"/>
    </w:p>
    <w:p w14:paraId="5A5B24D6" w14:textId="489421BE" w:rsidR="00565674" w:rsidRPr="00565674" w:rsidRDefault="00565674" w:rsidP="00565674">
      <w:pPr>
        <w:rPr>
          <w:rFonts w:asciiTheme="majorBidi" w:hAnsiTheme="majorBidi" w:cstheme="majorBidi"/>
          <w:sz w:val="24"/>
          <w:szCs w:val="24"/>
          <w:lang w:val="fr-FR"/>
        </w:rPr>
      </w:pPr>
      <w:r w:rsidRPr="00565674">
        <w:rPr>
          <w:rFonts w:asciiTheme="majorBidi" w:hAnsiTheme="majorBidi" w:cstheme="majorBidi"/>
          <w:sz w:val="24"/>
          <w:szCs w:val="24"/>
          <w:lang w:val="fr-FR"/>
        </w:rPr>
        <w:t xml:space="preserve">2 </w:t>
      </w:r>
      <w:proofErr w:type="spellStart"/>
      <w:r w:rsidRPr="00565674">
        <w:rPr>
          <w:rFonts w:asciiTheme="majorBidi" w:hAnsiTheme="majorBidi" w:cstheme="majorBidi"/>
          <w:sz w:val="24"/>
          <w:szCs w:val="24"/>
          <w:lang w:val="fr-FR"/>
        </w:rPr>
        <w:t>Çfarë</w:t>
      </w:r>
      <w:proofErr w:type="spellEnd"/>
      <w:r w:rsidRPr="0056567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65674">
        <w:rPr>
          <w:rFonts w:asciiTheme="majorBidi" w:hAnsiTheme="majorBidi" w:cstheme="majorBidi"/>
          <w:sz w:val="24"/>
          <w:szCs w:val="24"/>
          <w:lang w:val="fr-FR"/>
        </w:rPr>
        <w:t>duhet</w:t>
      </w:r>
      <w:proofErr w:type="spellEnd"/>
      <w:r w:rsidRPr="0056567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65674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56567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65674">
        <w:rPr>
          <w:rFonts w:asciiTheme="majorBidi" w:hAnsiTheme="majorBidi" w:cstheme="majorBidi"/>
          <w:sz w:val="24"/>
          <w:szCs w:val="24"/>
          <w:lang w:val="fr-FR"/>
        </w:rPr>
        <w:t>dini</w:t>
      </w:r>
      <w:proofErr w:type="spellEnd"/>
      <w:r w:rsidRPr="00565674">
        <w:rPr>
          <w:rFonts w:asciiTheme="majorBidi" w:hAnsiTheme="majorBidi" w:cstheme="majorBidi"/>
          <w:sz w:val="24"/>
          <w:szCs w:val="24"/>
          <w:lang w:val="fr-FR"/>
        </w:rPr>
        <w:t xml:space="preserve"> para se </w:t>
      </w:r>
      <w:proofErr w:type="spellStart"/>
      <w:r w:rsidRPr="00565674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56567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65674">
        <w:rPr>
          <w:rFonts w:asciiTheme="majorBidi" w:hAnsiTheme="majorBidi" w:cstheme="majorBidi"/>
          <w:sz w:val="24"/>
          <w:szCs w:val="24"/>
          <w:lang w:val="fr-FR"/>
        </w:rPr>
        <w:t>merrni</w:t>
      </w:r>
      <w:proofErr w:type="spellEnd"/>
      <w:r w:rsidRPr="0056567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65674">
        <w:rPr>
          <w:rFonts w:asciiTheme="majorBidi" w:hAnsiTheme="majorBidi" w:cstheme="majorBidi"/>
          <w:sz w:val="24"/>
          <w:szCs w:val="24"/>
          <w:lang w:val="fr-FR"/>
        </w:rPr>
        <w:t>Balversa</w:t>
      </w:r>
      <w:proofErr w:type="spellEnd"/>
    </w:p>
    <w:p w14:paraId="75A10D11" w14:textId="77777777" w:rsidR="00565674" w:rsidRPr="002A2506" w:rsidRDefault="00565674" w:rsidP="00565674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2A2506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Fëmijë </w:t>
      </w:r>
      <w:proofErr w:type="spellStart"/>
      <w:r w:rsidRPr="002A2506">
        <w:rPr>
          <w:rFonts w:asciiTheme="majorBidi" w:hAnsiTheme="majorBidi" w:cstheme="majorBidi"/>
          <w:b/>
          <w:bCs/>
          <w:sz w:val="24"/>
          <w:szCs w:val="24"/>
          <w:lang w:val="fr-FR"/>
        </w:rPr>
        <w:t>dhe</w:t>
      </w:r>
      <w:proofErr w:type="spellEnd"/>
      <w:r w:rsidRPr="002A2506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proofErr w:type="spellStart"/>
      <w:r w:rsidRPr="002A2506">
        <w:rPr>
          <w:rFonts w:asciiTheme="majorBidi" w:hAnsiTheme="majorBidi" w:cstheme="majorBidi"/>
          <w:b/>
          <w:bCs/>
          <w:sz w:val="24"/>
          <w:szCs w:val="24"/>
          <w:lang w:val="fr-FR"/>
        </w:rPr>
        <w:t>adoleshentë</w:t>
      </w:r>
      <w:proofErr w:type="spellEnd"/>
    </w:p>
    <w:p w14:paraId="18F6BA4C" w14:textId="751C425C" w:rsidR="001865DD" w:rsidRDefault="00565674" w:rsidP="00565674">
      <w:pPr>
        <w:rPr>
          <w:rFonts w:asciiTheme="majorBidi" w:hAnsiTheme="majorBidi" w:cstheme="majorBidi"/>
          <w:sz w:val="24"/>
          <w:szCs w:val="24"/>
          <w:lang w:val="fr-FR"/>
        </w:rPr>
      </w:pPr>
      <w:r w:rsidRPr="00565674">
        <w:rPr>
          <w:rFonts w:asciiTheme="majorBidi" w:hAnsiTheme="majorBidi" w:cstheme="majorBidi"/>
          <w:sz w:val="24"/>
          <w:szCs w:val="24"/>
          <w:lang w:val="fr-FR"/>
        </w:rPr>
        <w:t xml:space="preserve">Ky </w:t>
      </w:r>
      <w:r w:rsidR="002A2506">
        <w:rPr>
          <w:rFonts w:asciiTheme="majorBidi" w:hAnsiTheme="majorBidi" w:cstheme="majorBidi"/>
          <w:sz w:val="24"/>
          <w:szCs w:val="24"/>
          <w:lang w:val="fr-FR"/>
        </w:rPr>
        <w:t xml:space="preserve">bar </w:t>
      </w:r>
      <w:proofErr w:type="spellStart"/>
      <w:r w:rsidRPr="00565674">
        <w:rPr>
          <w:rFonts w:asciiTheme="majorBidi" w:hAnsiTheme="majorBidi" w:cstheme="majorBidi"/>
          <w:sz w:val="24"/>
          <w:szCs w:val="24"/>
          <w:lang w:val="fr-FR"/>
        </w:rPr>
        <w:t>nuk</w:t>
      </w:r>
      <w:proofErr w:type="spellEnd"/>
      <w:r w:rsidRPr="0056567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65674">
        <w:rPr>
          <w:rFonts w:asciiTheme="majorBidi" w:hAnsiTheme="majorBidi" w:cstheme="majorBidi"/>
          <w:sz w:val="24"/>
          <w:szCs w:val="24"/>
          <w:lang w:val="fr-FR"/>
        </w:rPr>
        <w:t>është</w:t>
      </w:r>
      <w:proofErr w:type="spellEnd"/>
      <w:r w:rsidRPr="0056567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65674">
        <w:rPr>
          <w:rFonts w:asciiTheme="majorBidi" w:hAnsiTheme="majorBidi" w:cstheme="majorBidi"/>
          <w:sz w:val="24"/>
          <w:szCs w:val="24"/>
          <w:lang w:val="fr-FR"/>
        </w:rPr>
        <w:t>për</w:t>
      </w:r>
      <w:proofErr w:type="spellEnd"/>
      <w:r w:rsidRPr="00565674">
        <w:rPr>
          <w:rFonts w:asciiTheme="majorBidi" w:hAnsiTheme="majorBidi" w:cstheme="majorBidi"/>
          <w:sz w:val="24"/>
          <w:szCs w:val="24"/>
          <w:lang w:val="fr-FR"/>
        </w:rPr>
        <w:t xml:space="preserve"> t’u </w:t>
      </w:r>
      <w:proofErr w:type="spellStart"/>
      <w:r w:rsidRPr="00565674">
        <w:rPr>
          <w:rFonts w:asciiTheme="majorBidi" w:hAnsiTheme="majorBidi" w:cstheme="majorBidi"/>
          <w:sz w:val="24"/>
          <w:szCs w:val="24"/>
          <w:lang w:val="fr-FR"/>
        </w:rPr>
        <w:t>përdorur</w:t>
      </w:r>
      <w:proofErr w:type="spellEnd"/>
      <w:r w:rsidRPr="00565674">
        <w:rPr>
          <w:rFonts w:asciiTheme="majorBidi" w:hAnsiTheme="majorBidi" w:cstheme="majorBidi"/>
          <w:sz w:val="24"/>
          <w:szCs w:val="24"/>
          <w:lang w:val="fr-FR"/>
        </w:rPr>
        <w:t xml:space="preserve"> tek </w:t>
      </w:r>
      <w:proofErr w:type="spellStart"/>
      <w:r w:rsidRPr="00565674">
        <w:rPr>
          <w:rFonts w:asciiTheme="majorBidi" w:hAnsiTheme="majorBidi" w:cstheme="majorBidi"/>
          <w:sz w:val="24"/>
          <w:szCs w:val="24"/>
          <w:lang w:val="fr-FR"/>
        </w:rPr>
        <w:t>fëmijët</w:t>
      </w:r>
      <w:proofErr w:type="spellEnd"/>
      <w:r w:rsidRPr="0056567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65674">
        <w:rPr>
          <w:rFonts w:asciiTheme="majorBidi" w:hAnsiTheme="majorBidi" w:cstheme="majorBidi"/>
          <w:sz w:val="24"/>
          <w:szCs w:val="24"/>
          <w:lang w:val="fr-FR"/>
        </w:rPr>
        <w:t>dhe</w:t>
      </w:r>
      <w:proofErr w:type="spellEnd"/>
      <w:r w:rsidRPr="0056567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65674">
        <w:rPr>
          <w:rFonts w:asciiTheme="majorBidi" w:hAnsiTheme="majorBidi" w:cstheme="majorBidi"/>
          <w:sz w:val="24"/>
          <w:szCs w:val="24"/>
          <w:lang w:val="fr-FR"/>
        </w:rPr>
        <w:t>adoleshentët</w:t>
      </w:r>
      <w:proofErr w:type="spellEnd"/>
      <w:r w:rsidRPr="00565674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proofErr w:type="spellStart"/>
      <w:r w:rsidRPr="00565674">
        <w:rPr>
          <w:rFonts w:asciiTheme="majorBidi" w:hAnsiTheme="majorBidi" w:cstheme="majorBidi"/>
          <w:sz w:val="24"/>
          <w:szCs w:val="24"/>
          <w:lang w:val="fr-FR"/>
        </w:rPr>
        <w:t>Kjo</w:t>
      </w:r>
      <w:proofErr w:type="spellEnd"/>
      <w:r w:rsidRPr="0056567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65674">
        <w:rPr>
          <w:rFonts w:asciiTheme="majorBidi" w:hAnsiTheme="majorBidi" w:cstheme="majorBidi"/>
          <w:sz w:val="24"/>
          <w:szCs w:val="24"/>
          <w:lang w:val="fr-FR"/>
        </w:rPr>
        <w:t>për</w:t>
      </w:r>
      <w:proofErr w:type="spellEnd"/>
      <w:r w:rsidRPr="0056567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65674">
        <w:rPr>
          <w:rFonts w:asciiTheme="majorBidi" w:hAnsiTheme="majorBidi" w:cstheme="majorBidi"/>
          <w:sz w:val="24"/>
          <w:szCs w:val="24"/>
          <w:lang w:val="fr-FR"/>
        </w:rPr>
        <w:t>shkak</w:t>
      </w:r>
      <w:proofErr w:type="spellEnd"/>
      <w:r w:rsidRPr="00565674">
        <w:rPr>
          <w:rFonts w:asciiTheme="majorBidi" w:hAnsiTheme="majorBidi" w:cstheme="majorBidi"/>
          <w:sz w:val="24"/>
          <w:szCs w:val="24"/>
          <w:lang w:val="fr-FR"/>
        </w:rPr>
        <w:t xml:space="preserve"> se </w:t>
      </w:r>
      <w:proofErr w:type="spellStart"/>
      <w:r w:rsidRPr="00565674">
        <w:rPr>
          <w:rFonts w:asciiTheme="majorBidi" w:hAnsiTheme="majorBidi" w:cstheme="majorBidi"/>
          <w:sz w:val="24"/>
          <w:szCs w:val="24"/>
          <w:lang w:val="fr-FR"/>
        </w:rPr>
        <w:t>nuk</w:t>
      </w:r>
      <w:proofErr w:type="spellEnd"/>
      <w:r w:rsidRPr="00565674">
        <w:rPr>
          <w:rFonts w:asciiTheme="majorBidi" w:hAnsiTheme="majorBidi" w:cstheme="majorBidi"/>
          <w:sz w:val="24"/>
          <w:szCs w:val="24"/>
          <w:lang w:val="fr-FR"/>
        </w:rPr>
        <w:t xml:space="preserve"> ka </w:t>
      </w:r>
      <w:proofErr w:type="spellStart"/>
      <w:r w:rsidRPr="00565674">
        <w:rPr>
          <w:rFonts w:asciiTheme="majorBidi" w:hAnsiTheme="majorBidi" w:cstheme="majorBidi"/>
          <w:sz w:val="24"/>
          <w:szCs w:val="24"/>
          <w:lang w:val="fr-FR"/>
        </w:rPr>
        <w:t>përvojë</w:t>
      </w:r>
      <w:proofErr w:type="spellEnd"/>
      <w:r w:rsidRPr="0056567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65674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56567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65674">
        <w:rPr>
          <w:rFonts w:asciiTheme="majorBidi" w:hAnsiTheme="majorBidi" w:cstheme="majorBidi"/>
          <w:sz w:val="24"/>
          <w:szCs w:val="24"/>
          <w:lang w:val="fr-FR"/>
        </w:rPr>
        <w:t>kufizuar</w:t>
      </w:r>
      <w:proofErr w:type="spellEnd"/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565674">
        <w:rPr>
          <w:rFonts w:asciiTheme="majorBidi" w:hAnsiTheme="majorBidi" w:cstheme="majorBidi"/>
          <w:sz w:val="24"/>
          <w:szCs w:val="24"/>
          <w:lang w:val="fr-FR"/>
        </w:rPr>
        <w:t xml:space="preserve">me </w:t>
      </w:r>
      <w:proofErr w:type="spellStart"/>
      <w:r w:rsidRPr="00565674">
        <w:rPr>
          <w:rFonts w:asciiTheme="majorBidi" w:hAnsiTheme="majorBidi" w:cstheme="majorBidi"/>
          <w:sz w:val="24"/>
          <w:szCs w:val="24"/>
          <w:lang w:val="fr-FR"/>
        </w:rPr>
        <w:t>përdorimin</w:t>
      </w:r>
      <w:proofErr w:type="spellEnd"/>
      <w:r w:rsidRPr="00565674">
        <w:rPr>
          <w:rFonts w:asciiTheme="majorBidi" w:hAnsiTheme="majorBidi" w:cstheme="majorBidi"/>
          <w:sz w:val="24"/>
          <w:szCs w:val="24"/>
          <w:lang w:val="fr-FR"/>
        </w:rPr>
        <w:t xml:space="preserve"> e </w:t>
      </w:r>
      <w:proofErr w:type="spellStart"/>
      <w:r w:rsidRPr="00565674">
        <w:rPr>
          <w:rFonts w:asciiTheme="majorBidi" w:hAnsiTheme="majorBidi" w:cstheme="majorBidi"/>
          <w:sz w:val="24"/>
          <w:szCs w:val="24"/>
          <w:lang w:val="fr-FR"/>
        </w:rPr>
        <w:t>Balversa</w:t>
      </w:r>
      <w:proofErr w:type="spellEnd"/>
      <w:r w:rsidRPr="0056567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65674">
        <w:rPr>
          <w:rFonts w:asciiTheme="majorBidi" w:hAnsiTheme="majorBidi" w:cstheme="majorBidi"/>
          <w:sz w:val="24"/>
          <w:szCs w:val="24"/>
          <w:lang w:val="fr-FR"/>
        </w:rPr>
        <w:t>në</w:t>
      </w:r>
      <w:proofErr w:type="spellEnd"/>
      <w:r w:rsidRPr="0056567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65674">
        <w:rPr>
          <w:rFonts w:asciiTheme="majorBidi" w:hAnsiTheme="majorBidi" w:cstheme="majorBidi"/>
          <w:sz w:val="24"/>
          <w:szCs w:val="24"/>
          <w:lang w:val="fr-FR"/>
        </w:rPr>
        <w:t>këtë</w:t>
      </w:r>
      <w:proofErr w:type="spellEnd"/>
      <w:r w:rsidRPr="0056567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65674">
        <w:rPr>
          <w:rFonts w:asciiTheme="majorBidi" w:hAnsiTheme="majorBidi" w:cstheme="majorBidi"/>
          <w:sz w:val="24"/>
          <w:szCs w:val="24"/>
          <w:lang w:val="fr-FR"/>
        </w:rPr>
        <w:t>grupmoshë</w:t>
      </w:r>
      <w:proofErr w:type="spellEnd"/>
      <w:r w:rsidRPr="00565674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proofErr w:type="spellStart"/>
      <w:r w:rsidRPr="00565674">
        <w:rPr>
          <w:rFonts w:asciiTheme="majorBidi" w:hAnsiTheme="majorBidi" w:cstheme="majorBidi"/>
          <w:sz w:val="24"/>
          <w:szCs w:val="24"/>
          <w:lang w:val="fr-FR"/>
        </w:rPr>
        <w:t>Shihni</w:t>
      </w:r>
      <w:proofErr w:type="spellEnd"/>
      <w:r w:rsidRPr="0056567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65674">
        <w:rPr>
          <w:rFonts w:asciiTheme="majorBidi" w:hAnsiTheme="majorBidi" w:cstheme="majorBidi"/>
          <w:sz w:val="24"/>
          <w:szCs w:val="24"/>
          <w:lang w:val="fr-FR"/>
        </w:rPr>
        <w:t>seksionin</w:t>
      </w:r>
      <w:proofErr w:type="spellEnd"/>
      <w:r w:rsidRPr="00565674">
        <w:rPr>
          <w:rFonts w:asciiTheme="majorBidi" w:hAnsiTheme="majorBidi" w:cstheme="majorBidi"/>
          <w:sz w:val="24"/>
          <w:szCs w:val="24"/>
          <w:lang w:val="fr-FR"/>
        </w:rPr>
        <w:t xml:space="preserve"> 4 </w:t>
      </w:r>
      <w:proofErr w:type="spellStart"/>
      <w:r w:rsidRPr="00565674">
        <w:rPr>
          <w:rFonts w:asciiTheme="majorBidi" w:hAnsiTheme="majorBidi" w:cstheme="majorBidi"/>
          <w:sz w:val="24"/>
          <w:szCs w:val="24"/>
          <w:lang w:val="fr-FR"/>
        </w:rPr>
        <w:t>për</w:t>
      </w:r>
      <w:proofErr w:type="spellEnd"/>
      <w:r w:rsidRPr="0056567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65674">
        <w:rPr>
          <w:rFonts w:asciiTheme="majorBidi" w:hAnsiTheme="majorBidi" w:cstheme="majorBidi"/>
          <w:sz w:val="24"/>
          <w:szCs w:val="24"/>
          <w:lang w:val="fr-FR"/>
        </w:rPr>
        <w:t>më</w:t>
      </w:r>
      <w:proofErr w:type="spellEnd"/>
      <w:r w:rsidRPr="0056567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65674">
        <w:rPr>
          <w:rFonts w:asciiTheme="majorBidi" w:hAnsiTheme="majorBidi" w:cstheme="majorBidi"/>
          <w:sz w:val="24"/>
          <w:szCs w:val="24"/>
          <w:lang w:val="fr-FR"/>
        </w:rPr>
        <w:t>shumë</w:t>
      </w:r>
      <w:proofErr w:type="spellEnd"/>
      <w:r w:rsidRPr="0056567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565674">
        <w:rPr>
          <w:rFonts w:asciiTheme="majorBidi" w:hAnsiTheme="majorBidi" w:cstheme="majorBidi"/>
          <w:sz w:val="24"/>
          <w:szCs w:val="24"/>
          <w:lang w:val="fr-FR"/>
        </w:rPr>
        <w:t>informacion</w:t>
      </w:r>
      <w:proofErr w:type="spellEnd"/>
      <w:r w:rsidRPr="00565674">
        <w:rPr>
          <w:rFonts w:asciiTheme="majorBidi" w:hAnsiTheme="majorBidi" w:cstheme="majorBidi"/>
          <w:sz w:val="24"/>
          <w:szCs w:val="24"/>
          <w:lang w:val="fr-FR"/>
        </w:rPr>
        <w:t>.</w:t>
      </w:r>
    </w:p>
    <w:p w14:paraId="45061EE6" w14:textId="60E8FB00" w:rsidR="001823B9" w:rsidRPr="001823B9" w:rsidRDefault="001823B9" w:rsidP="001823B9">
      <w:pPr>
        <w:rPr>
          <w:rFonts w:asciiTheme="majorBidi" w:hAnsiTheme="majorBidi" w:cstheme="majorBidi"/>
          <w:sz w:val="24"/>
          <w:szCs w:val="24"/>
          <w:lang w:val="fr-FR"/>
        </w:rPr>
      </w:pPr>
      <w:r w:rsidRPr="001823B9">
        <w:rPr>
          <w:rFonts w:asciiTheme="majorBidi" w:hAnsiTheme="majorBidi" w:cstheme="majorBidi"/>
          <w:sz w:val="24"/>
          <w:szCs w:val="24"/>
          <w:lang w:val="fr-FR"/>
        </w:rPr>
        <w:t xml:space="preserve">4 </w:t>
      </w:r>
      <w:proofErr w:type="spellStart"/>
      <w:r w:rsidRPr="001823B9">
        <w:rPr>
          <w:rFonts w:asciiTheme="majorBidi" w:hAnsiTheme="majorBidi" w:cstheme="majorBidi"/>
          <w:sz w:val="24"/>
          <w:szCs w:val="24"/>
          <w:lang w:val="fr-FR"/>
        </w:rPr>
        <w:t>Efektet</w:t>
      </w:r>
      <w:proofErr w:type="spellEnd"/>
      <w:r w:rsidRPr="001823B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1823B9">
        <w:rPr>
          <w:rFonts w:asciiTheme="majorBidi" w:hAnsiTheme="majorBidi" w:cstheme="majorBidi"/>
          <w:sz w:val="24"/>
          <w:szCs w:val="24"/>
          <w:lang w:val="fr-FR"/>
        </w:rPr>
        <w:t>padëshiruara</w:t>
      </w:r>
      <w:proofErr w:type="spellEnd"/>
      <w:r w:rsidRPr="001823B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1823B9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1823B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1823B9">
        <w:rPr>
          <w:rFonts w:asciiTheme="majorBidi" w:hAnsiTheme="majorBidi" w:cstheme="majorBidi"/>
          <w:sz w:val="24"/>
          <w:szCs w:val="24"/>
          <w:lang w:val="fr-FR"/>
        </w:rPr>
        <w:t>mundshme</w:t>
      </w:r>
      <w:proofErr w:type="spellEnd"/>
    </w:p>
    <w:p w14:paraId="16DC2723" w14:textId="5D3D1DF8" w:rsidR="001823B9" w:rsidRPr="001823B9" w:rsidRDefault="001823B9" w:rsidP="001823B9">
      <w:pPr>
        <w:rPr>
          <w:rFonts w:asciiTheme="majorBidi" w:hAnsiTheme="majorBidi" w:cstheme="majorBidi"/>
          <w:sz w:val="24"/>
          <w:szCs w:val="24"/>
          <w:u w:val="single"/>
          <w:lang w:val="fr-FR"/>
        </w:rPr>
      </w:pPr>
      <w:proofErr w:type="spellStart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lastRenderedPageBreak/>
        <w:t>Efektet</w:t>
      </w:r>
      <w:proofErr w:type="spellEnd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>padëshiruara</w:t>
      </w:r>
      <w:proofErr w:type="spellEnd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>shtesë</w:t>
      </w:r>
      <w:proofErr w:type="spellEnd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tek </w:t>
      </w:r>
      <w:proofErr w:type="spellStart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>fëmijët</w:t>
      </w:r>
      <w:proofErr w:type="spellEnd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>dhe</w:t>
      </w:r>
      <w:proofErr w:type="spellEnd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>adoleshentët</w:t>
      </w:r>
      <w:proofErr w:type="spellEnd"/>
    </w:p>
    <w:p w14:paraId="2D410C1C" w14:textId="16D62B6E" w:rsidR="001823B9" w:rsidRDefault="001823B9" w:rsidP="001823B9">
      <w:pPr>
        <w:rPr>
          <w:rFonts w:asciiTheme="majorBidi" w:hAnsiTheme="majorBidi" w:cstheme="majorBidi"/>
          <w:sz w:val="24"/>
          <w:szCs w:val="24"/>
          <w:u w:val="single"/>
          <w:lang w:val="fr-FR"/>
        </w:rPr>
      </w:pPr>
      <w:proofErr w:type="spellStart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>Balversa</w:t>
      </w:r>
      <w:proofErr w:type="spellEnd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>mund</w:t>
      </w:r>
      <w:proofErr w:type="spellEnd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>të</w:t>
      </w:r>
      <w:proofErr w:type="spellEnd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>shkaktojë</w:t>
      </w:r>
      <w:proofErr w:type="spellEnd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>rritje</w:t>
      </w:r>
      <w:proofErr w:type="spellEnd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>të</w:t>
      </w:r>
      <w:proofErr w:type="spellEnd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>përshpejtuar</w:t>
      </w:r>
      <w:proofErr w:type="spellEnd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ose </w:t>
      </w:r>
      <w:proofErr w:type="spellStart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>rritje</w:t>
      </w:r>
      <w:proofErr w:type="spellEnd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>të</w:t>
      </w:r>
      <w:proofErr w:type="spellEnd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>çrregullt</w:t>
      </w:r>
      <w:proofErr w:type="spellEnd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>të</w:t>
      </w:r>
      <w:proofErr w:type="spellEnd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>nyjes</w:t>
      </w:r>
      <w:proofErr w:type="spellEnd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>së</w:t>
      </w:r>
      <w:proofErr w:type="spellEnd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>legenit</w:t>
      </w:r>
      <w:proofErr w:type="spellEnd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ose </w:t>
      </w:r>
      <w:proofErr w:type="spellStart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>dëmtim</w:t>
      </w:r>
      <w:proofErr w:type="spellEnd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tek </w:t>
      </w:r>
      <w:proofErr w:type="spellStart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>pacientët</w:t>
      </w:r>
      <w:proofErr w:type="spellEnd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>pediatrikë</w:t>
      </w:r>
      <w:proofErr w:type="spellEnd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(&lt;18 </w:t>
      </w:r>
      <w:proofErr w:type="spellStart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>vjeç</w:t>
      </w:r>
      <w:proofErr w:type="spellEnd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). </w:t>
      </w:r>
      <w:proofErr w:type="spellStart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>Nëse</w:t>
      </w:r>
      <w:proofErr w:type="spellEnd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>ju</w:t>
      </w:r>
      <w:proofErr w:type="spellEnd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ose </w:t>
      </w:r>
      <w:proofErr w:type="spellStart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>fëmija</w:t>
      </w:r>
      <w:proofErr w:type="spellEnd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>juaj</w:t>
      </w:r>
      <w:proofErr w:type="spellEnd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>përjetoni</w:t>
      </w:r>
      <w:proofErr w:type="spellEnd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>dhimbje</w:t>
      </w:r>
      <w:proofErr w:type="spellEnd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>në</w:t>
      </w:r>
      <w:proofErr w:type="spellEnd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>legen</w:t>
      </w:r>
      <w:proofErr w:type="spellEnd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ose </w:t>
      </w:r>
      <w:proofErr w:type="spellStart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>gju</w:t>
      </w:r>
      <w:proofErr w:type="spellEnd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ose </w:t>
      </w:r>
      <w:proofErr w:type="spellStart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>keni</w:t>
      </w:r>
      <w:proofErr w:type="spellEnd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>një</w:t>
      </w:r>
      <w:proofErr w:type="spellEnd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>çalim</w:t>
      </w:r>
      <w:proofErr w:type="spellEnd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>të</w:t>
      </w:r>
      <w:proofErr w:type="spellEnd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>pashpjegueshëm</w:t>
      </w:r>
      <w:proofErr w:type="spellEnd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, </w:t>
      </w:r>
      <w:proofErr w:type="spellStart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>flisni</w:t>
      </w:r>
      <w:proofErr w:type="spellEnd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me </w:t>
      </w:r>
      <w:proofErr w:type="spellStart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>mjekun</w:t>
      </w:r>
      <w:proofErr w:type="spellEnd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>tuaj</w:t>
      </w:r>
      <w:proofErr w:type="spellEnd"/>
      <w:r w:rsidRPr="001823B9">
        <w:rPr>
          <w:rFonts w:asciiTheme="majorBidi" w:hAnsiTheme="majorBidi" w:cstheme="majorBidi"/>
          <w:sz w:val="24"/>
          <w:szCs w:val="24"/>
          <w:u w:val="single"/>
          <w:lang w:val="fr-FR"/>
        </w:rPr>
        <w:t>.</w:t>
      </w:r>
    </w:p>
    <w:p w14:paraId="239D115A" w14:textId="77777777" w:rsidR="00691D71" w:rsidRDefault="00691D71" w:rsidP="001823B9">
      <w:pPr>
        <w:rPr>
          <w:rFonts w:asciiTheme="majorBidi" w:hAnsiTheme="majorBidi" w:cstheme="majorBidi"/>
          <w:sz w:val="24"/>
          <w:szCs w:val="24"/>
          <w:u w:val="single"/>
          <w:lang w:val="fr-FR"/>
        </w:rPr>
      </w:pPr>
    </w:p>
    <w:p w14:paraId="1A820528" w14:textId="77777777" w:rsidR="009C643A" w:rsidRDefault="009C643A" w:rsidP="001823B9">
      <w:pPr>
        <w:rPr>
          <w:rFonts w:asciiTheme="majorBidi" w:hAnsiTheme="majorBidi" w:cstheme="majorBidi"/>
          <w:sz w:val="24"/>
          <w:szCs w:val="24"/>
          <w:u w:val="single"/>
          <w:lang w:val="fr-FR"/>
        </w:rPr>
      </w:pPr>
    </w:p>
    <w:p w14:paraId="63379032" w14:textId="6EE47F24" w:rsidR="001823B9" w:rsidRPr="00562002" w:rsidRDefault="006C031F" w:rsidP="006C031F">
      <w:pPr>
        <w:pStyle w:val="ListParagraph"/>
        <w:numPr>
          <w:ilvl w:val="1"/>
          <w:numId w:val="23"/>
        </w:numPr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</w:pPr>
      <w:proofErr w:type="spellStart"/>
      <w:r w:rsidRPr="00562002"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Doksorubicinë</w:t>
      </w:r>
      <w:proofErr w:type="spellEnd"/>
      <w:r w:rsidRPr="00562002"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 xml:space="preserve"> </w:t>
      </w:r>
      <w:proofErr w:type="spellStart"/>
      <w:r w:rsidRPr="00562002"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liposomale</w:t>
      </w:r>
      <w:proofErr w:type="spellEnd"/>
      <w:r w:rsidRPr="00562002"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 xml:space="preserve"> e </w:t>
      </w:r>
      <w:proofErr w:type="spellStart"/>
      <w:r w:rsidRPr="00562002"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pegiluar</w:t>
      </w:r>
      <w:proofErr w:type="spellEnd"/>
      <w:r w:rsidRPr="00562002"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 xml:space="preserve"> – </w:t>
      </w:r>
      <w:proofErr w:type="spellStart"/>
      <w:r w:rsidRPr="00562002"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Mikroangiopati</w:t>
      </w:r>
      <w:proofErr w:type="spellEnd"/>
      <w:r w:rsidRPr="00562002"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 xml:space="preserve"> </w:t>
      </w:r>
      <w:proofErr w:type="spellStart"/>
      <w:r w:rsidRPr="00562002"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trombotike</w:t>
      </w:r>
      <w:proofErr w:type="spellEnd"/>
      <w:r w:rsidRPr="00562002"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 xml:space="preserve"> e </w:t>
      </w:r>
      <w:proofErr w:type="spellStart"/>
      <w:r w:rsidRPr="00562002"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kufizuar</w:t>
      </w:r>
      <w:proofErr w:type="spellEnd"/>
      <w:r w:rsidRPr="00562002"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 xml:space="preserve"> </w:t>
      </w:r>
      <w:proofErr w:type="spellStart"/>
      <w:r w:rsidRPr="00562002"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nga</w:t>
      </w:r>
      <w:proofErr w:type="spellEnd"/>
      <w:r w:rsidRPr="00562002"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 xml:space="preserve"> </w:t>
      </w:r>
      <w:proofErr w:type="spellStart"/>
      <w:r w:rsidRPr="00562002"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veshkat</w:t>
      </w:r>
      <w:proofErr w:type="spellEnd"/>
    </w:p>
    <w:p w14:paraId="43C434F4" w14:textId="77777777" w:rsidR="002B33F9" w:rsidRPr="006C031F" w:rsidRDefault="002B33F9" w:rsidP="002B33F9">
      <w:pPr>
        <w:pStyle w:val="ListParagraph"/>
        <w:ind w:left="420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14:paraId="24FAEDD7" w14:textId="77777777" w:rsidR="002B33F9" w:rsidRPr="002B33F9" w:rsidRDefault="002B33F9" w:rsidP="002B33F9">
      <w:pPr>
        <w:pStyle w:val="ListParagraph"/>
        <w:ind w:left="420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proofErr w:type="spellStart"/>
      <w:r w:rsidRPr="002B33F9">
        <w:rPr>
          <w:rFonts w:asciiTheme="majorBidi" w:hAnsiTheme="majorBidi" w:cstheme="majorBidi"/>
          <w:b/>
          <w:bCs/>
          <w:sz w:val="24"/>
          <w:szCs w:val="24"/>
          <w:lang w:val="fr-FR"/>
        </w:rPr>
        <w:t>Rekomandim</w:t>
      </w:r>
      <w:proofErr w:type="spellEnd"/>
    </w:p>
    <w:p w14:paraId="63F70168" w14:textId="77777777" w:rsidR="00BE189C" w:rsidRDefault="002B33F9" w:rsidP="00BE189C">
      <w:pPr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2B33F9">
        <w:rPr>
          <w:rFonts w:asciiTheme="majorBidi" w:hAnsiTheme="majorBidi" w:cstheme="majorBidi"/>
          <w:sz w:val="24"/>
          <w:szCs w:val="24"/>
          <w:lang w:val="fr-FR"/>
        </w:rPr>
        <w:t xml:space="preserve">Duke </w:t>
      </w:r>
      <w:proofErr w:type="spellStart"/>
      <w:r w:rsidRPr="002B33F9">
        <w:rPr>
          <w:rFonts w:asciiTheme="majorBidi" w:hAnsiTheme="majorBidi" w:cstheme="majorBidi"/>
          <w:sz w:val="24"/>
          <w:szCs w:val="24"/>
          <w:lang w:val="fr-FR"/>
        </w:rPr>
        <w:t>marrë</w:t>
      </w:r>
      <w:proofErr w:type="spellEnd"/>
      <w:r w:rsidRPr="002B33F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2B33F9">
        <w:rPr>
          <w:rFonts w:asciiTheme="majorBidi" w:hAnsiTheme="majorBidi" w:cstheme="majorBidi"/>
          <w:sz w:val="24"/>
          <w:szCs w:val="24"/>
          <w:lang w:val="fr-FR"/>
        </w:rPr>
        <w:t>në</w:t>
      </w:r>
      <w:proofErr w:type="spellEnd"/>
      <w:r w:rsidRPr="002B33F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2B33F9">
        <w:rPr>
          <w:rFonts w:asciiTheme="majorBidi" w:hAnsiTheme="majorBidi" w:cstheme="majorBidi"/>
          <w:sz w:val="24"/>
          <w:szCs w:val="24"/>
          <w:lang w:val="fr-FR"/>
        </w:rPr>
        <w:t>konsideratë</w:t>
      </w:r>
      <w:proofErr w:type="spellEnd"/>
      <w:r w:rsidRPr="002B33F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2B33F9">
        <w:rPr>
          <w:rFonts w:asciiTheme="majorBidi" w:hAnsiTheme="majorBidi" w:cstheme="majorBidi"/>
          <w:sz w:val="24"/>
          <w:szCs w:val="24"/>
          <w:lang w:val="fr-FR"/>
        </w:rPr>
        <w:t>provat</w:t>
      </w:r>
      <w:proofErr w:type="spellEnd"/>
      <w:r w:rsidRPr="002B33F9">
        <w:rPr>
          <w:rFonts w:asciiTheme="majorBidi" w:hAnsiTheme="majorBidi" w:cstheme="majorBidi"/>
          <w:sz w:val="24"/>
          <w:szCs w:val="24"/>
          <w:lang w:val="fr-FR"/>
        </w:rPr>
        <w:t xml:space="preserve"> e </w:t>
      </w:r>
      <w:proofErr w:type="spellStart"/>
      <w:r w:rsidRPr="002B33F9">
        <w:rPr>
          <w:rFonts w:asciiTheme="majorBidi" w:hAnsiTheme="majorBidi" w:cstheme="majorBidi"/>
          <w:sz w:val="24"/>
          <w:szCs w:val="24"/>
          <w:lang w:val="fr-FR"/>
        </w:rPr>
        <w:t>disponueshme</w:t>
      </w:r>
      <w:proofErr w:type="spellEnd"/>
      <w:r w:rsidRPr="002B33F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2B33F9">
        <w:rPr>
          <w:rFonts w:asciiTheme="majorBidi" w:hAnsiTheme="majorBidi" w:cstheme="majorBidi"/>
          <w:sz w:val="24"/>
          <w:szCs w:val="24"/>
          <w:lang w:val="fr-FR"/>
        </w:rPr>
        <w:t>nga</w:t>
      </w:r>
      <w:proofErr w:type="spellEnd"/>
      <w:r w:rsidRPr="002B33F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2B33F9">
        <w:rPr>
          <w:rFonts w:asciiTheme="majorBidi" w:hAnsiTheme="majorBidi" w:cstheme="majorBidi"/>
          <w:sz w:val="24"/>
          <w:szCs w:val="24"/>
          <w:lang w:val="fr-FR"/>
        </w:rPr>
        <w:t>raportet</w:t>
      </w:r>
      <w:proofErr w:type="spellEnd"/>
      <w:r w:rsidRPr="002B33F9">
        <w:rPr>
          <w:rFonts w:asciiTheme="majorBidi" w:hAnsiTheme="majorBidi" w:cstheme="majorBidi"/>
          <w:sz w:val="24"/>
          <w:szCs w:val="24"/>
          <w:lang w:val="fr-FR"/>
        </w:rPr>
        <w:t xml:space="preserve"> e </w:t>
      </w:r>
      <w:proofErr w:type="spellStart"/>
      <w:r w:rsidRPr="002B33F9">
        <w:rPr>
          <w:rFonts w:asciiTheme="majorBidi" w:hAnsiTheme="majorBidi" w:cstheme="majorBidi"/>
          <w:sz w:val="24"/>
          <w:szCs w:val="24"/>
          <w:lang w:val="fr-FR"/>
        </w:rPr>
        <w:t>rasteve</w:t>
      </w:r>
      <w:proofErr w:type="spellEnd"/>
      <w:r w:rsidRPr="002B33F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2B33F9">
        <w:rPr>
          <w:rFonts w:asciiTheme="majorBidi" w:hAnsiTheme="majorBidi" w:cstheme="majorBidi"/>
          <w:sz w:val="24"/>
          <w:szCs w:val="24"/>
          <w:lang w:val="fr-FR"/>
        </w:rPr>
        <w:t>në</w:t>
      </w:r>
      <w:proofErr w:type="spellEnd"/>
      <w:r w:rsidRPr="002B33F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2B33F9">
        <w:rPr>
          <w:rFonts w:asciiTheme="majorBidi" w:hAnsiTheme="majorBidi" w:cstheme="majorBidi"/>
          <w:sz w:val="24"/>
          <w:szCs w:val="24"/>
          <w:lang w:val="fr-FR"/>
        </w:rPr>
        <w:t>EudraVigilance</w:t>
      </w:r>
      <w:proofErr w:type="spellEnd"/>
      <w:r w:rsidRPr="002B33F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2B33F9">
        <w:rPr>
          <w:rFonts w:asciiTheme="majorBidi" w:hAnsiTheme="majorBidi" w:cstheme="majorBidi"/>
          <w:sz w:val="24"/>
          <w:szCs w:val="24"/>
          <w:lang w:val="fr-FR"/>
        </w:rPr>
        <w:t>dhe</w:t>
      </w:r>
      <w:proofErr w:type="spellEnd"/>
      <w:r w:rsidRPr="002B33F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proofErr w:type="gramStart"/>
      <w:r w:rsidRPr="002B33F9">
        <w:rPr>
          <w:rFonts w:asciiTheme="majorBidi" w:hAnsiTheme="majorBidi" w:cstheme="majorBidi"/>
          <w:sz w:val="24"/>
          <w:szCs w:val="24"/>
          <w:lang w:val="fr-FR"/>
        </w:rPr>
        <w:t>literaturën,</w:t>
      </w:r>
      <w:r w:rsidRPr="00BE189C">
        <w:rPr>
          <w:rFonts w:asciiTheme="majorBidi" w:hAnsiTheme="majorBidi" w:cstheme="majorBidi"/>
          <w:sz w:val="24"/>
          <w:szCs w:val="24"/>
          <w:lang w:val="fr-FR"/>
        </w:rPr>
        <w:t>përfshirë</w:t>
      </w:r>
      <w:proofErr w:type="spellEnd"/>
      <w:proofErr w:type="gramEnd"/>
      <w:r w:rsidRPr="00BE189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BE189C">
        <w:rPr>
          <w:rFonts w:asciiTheme="majorBidi" w:hAnsiTheme="majorBidi" w:cstheme="majorBidi"/>
          <w:sz w:val="24"/>
          <w:szCs w:val="24"/>
          <w:lang w:val="fr-FR"/>
        </w:rPr>
        <w:t>rishikimin</w:t>
      </w:r>
      <w:proofErr w:type="spellEnd"/>
      <w:r w:rsidRPr="00BE189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BE189C">
        <w:rPr>
          <w:rFonts w:asciiTheme="majorBidi" w:hAnsiTheme="majorBidi" w:cstheme="majorBidi"/>
          <w:sz w:val="24"/>
          <w:szCs w:val="24"/>
          <w:lang w:val="fr-FR"/>
        </w:rPr>
        <w:t>permbledhes</w:t>
      </w:r>
      <w:proofErr w:type="spellEnd"/>
      <w:r w:rsidR="00BE189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BE189C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BE189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BE189C">
        <w:rPr>
          <w:rFonts w:asciiTheme="majorBidi" w:hAnsiTheme="majorBidi" w:cstheme="majorBidi"/>
          <w:sz w:val="24"/>
          <w:szCs w:val="24"/>
          <w:lang w:val="fr-FR"/>
        </w:rPr>
        <w:t>paraqitur</w:t>
      </w:r>
      <w:proofErr w:type="spellEnd"/>
      <w:r w:rsidRPr="00BE189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BE189C">
        <w:rPr>
          <w:rFonts w:asciiTheme="majorBidi" w:hAnsiTheme="majorBidi" w:cstheme="majorBidi"/>
          <w:sz w:val="24"/>
          <w:szCs w:val="24"/>
          <w:lang w:val="fr-FR"/>
        </w:rPr>
        <w:t>nga</w:t>
      </w:r>
      <w:proofErr w:type="spellEnd"/>
      <w:r w:rsidRPr="00BE189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BE189C">
        <w:rPr>
          <w:rFonts w:asciiTheme="majorBidi" w:hAnsiTheme="majorBidi" w:cstheme="majorBidi"/>
          <w:sz w:val="24"/>
          <w:szCs w:val="24"/>
          <w:lang w:val="fr-FR"/>
        </w:rPr>
        <w:t>Mbajtësi</w:t>
      </w:r>
      <w:proofErr w:type="spellEnd"/>
      <w:r w:rsidRPr="00BE189C">
        <w:rPr>
          <w:rFonts w:asciiTheme="majorBidi" w:hAnsiTheme="majorBidi" w:cstheme="majorBidi"/>
          <w:sz w:val="24"/>
          <w:szCs w:val="24"/>
          <w:lang w:val="fr-FR"/>
        </w:rPr>
        <w:t>/</w:t>
      </w:r>
      <w:proofErr w:type="spellStart"/>
      <w:r w:rsidRPr="00BE189C">
        <w:rPr>
          <w:rFonts w:asciiTheme="majorBidi" w:hAnsiTheme="majorBidi" w:cstheme="majorBidi"/>
          <w:sz w:val="24"/>
          <w:szCs w:val="24"/>
          <w:lang w:val="fr-FR"/>
        </w:rPr>
        <w:t>ët</w:t>
      </w:r>
      <w:proofErr w:type="spellEnd"/>
      <w:r w:rsidRPr="00BE189C">
        <w:rPr>
          <w:rFonts w:asciiTheme="majorBidi" w:hAnsiTheme="majorBidi" w:cstheme="majorBidi"/>
          <w:sz w:val="24"/>
          <w:szCs w:val="24"/>
          <w:lang w:val="fr-FR"/>
        </w:rPr>
        <w:t xml:space="preserve"> e </w:t>
      </w:r>
      <w:proofErr w:type="spellStart"/>
      <w:r w:rsidRPr="00BE189C">
        <w:rPr>
          <w:rFonts w:asciiTheme="majorBidi" w:hAnsiTheme="majorBidi" w:cstheme="majorBidi"/>
          <w:sz w:val="24"/>
          <w:szCs w:val="24"/>
          <w:lang w:val="fr-FR"/>
        </w:rPr>
        <w:t>Autorizimit</w:t>
      </w:r>
      <w:proofErr w:type="spellEnd"/>
      <w:r w:rsidRPr="00BE189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BE189C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BE189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BE189C">
        <w:rPr>
          <w:rFonts w:asciiTheme="majorBidi" w:hAnsiTheme="majorBidi" w:cstheme="majorBidi"/>
          <w:sz w:val="24"/>
          <w:szCs w:val="24"/>
          <w:lang w:val="fr-FR"/>
        </w:rPr>
        <w:t>Tregtimit</w:t>
      </w:r>
      <w:proofErr w:type="spellEnd"/>
      <w:r w:rsidRPr="00BE189C">
        <w:rPr>
          <w:rFonts w:asciiTheme="majorBidi" w:hAnsiTheme="majorBidi" w:cstheme="majorBidi"/>
          <w:sz w:val="24"/>
          <w:szCs w:val="24"/>
          <w:lang w:val="fr-FR"/>
        </w:rPr>
        <w:t xml:space="preserve"> (MAH/</w:t>
      </w:r>
      <w:proofErr w:type="spellStart"/>
      <w:r w:rsidRPr="00BE189C">
        <w:rPr>
          <w:rFonts w:asciiTheme="majorBidi" w:hAnsiTheme="majorBidi" w:cstheme="majorBidi"/>
          <w:sz w:val="24"/>
          <w:szCs w:val="24"/>
          <w:lang w:val="fr-FR"/>
        </w:rPr>
        <w:t>ët</w:t>
      </w:r>
      <w:proofErr w:type="spellEnd"/>
      <w:r w:rsidRPr="00BE189C">
        <w:rPr>
          <w:rFonts w:asciiTheme="majorBidi" w:hAnsiTheme="majorBidi" w:cstheme="majorBidi"/>
          <w:sz w:val="24"/>
          <w:szCs w:val="24"/>
          <w:lang w:val="fr-FR"/>
        </w:rPr>
        <w:t xml:space="preserve">), PRAC ka </w:t>
      </w:r>
      <w:proofErr w:type="spellStart"/>
      <w:r w:rsidRPr="00BE189C">
        <w:rPr>
          <w:rFonts w:asciiTheme="majorBidi" w:hAnsiTheme="majorBidi" w:cstheme="majorBidi"/>
          <w:sz w:val="24"/>
          <w:szCs w:val="24"/>
          <w:lang w:val="fr-FR"/>
        </w:rPr>
        <w:t>rënë</w:t>
      </w:r>
      <w:proofErr w:type="spellEnd"/>
      <w:r w:rsidRPr="00BE189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BE189C">
        <w:rPr>
          <w:rFonts w:asciiTheme="majorBidi" w:hAnsiTheme="majorBidi" w:cstheme="majorBidi"/>
          <w:sz w:val="24"/>
          <w:szCs w:val="24"/>
          <w:lang w:val="fr-FR"/>
        </w:rPr>
        <w:t>dakord</w:t>
      </w:r>
      <w:proofErr w:type="spellEnd"/>
      <w:r w:rsidRPr="00BE189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BE189C">
        <w:rPr>
          <w:rFonts w:asciiTheme="majorBidi" w:hAnsiTheme="majorBidi" w:cstheme="majorBidi"/>
          <w:sz w:val="24"/>
          <w:szCs w:val="24"/>
          <w:lang w:val="fr-FR"/>
        </w:rPr>
        <w:t>që</w:t>
      </w:r>
      <w:proofErr w:type="spellEnd"/>
      <w:r w:rsidRPr="00BE189C">
        <w:rPr>
          <w:rFonts w:asciiTheme="majorBidi" w:hAnsiTheme="majorBidi" w:cstheme="majorBidi"/>
          <w:sz w:val="24"/>
          <w:szCs w:val="24"/>
          <w:lang w:val="fr-FR"/>
        </w:rPr>
        <w:t xml:space="preserve"> MAH/</w:t>
      </w:r>
      <w:proofErr w:type="spellStart"/>
      <w:r w:rsidRPr="00BE189C">
        <w:rPr>
          <w:rFonts w:asciiTheme="majorBidi" w:hAnsiTheme="majorBidi" w:cstheme="majorBidi"/>
          <w:sz w:val="24"/>
          <w:szCs w:val="24"/>
          <w:lang w:val="fr-FR"/>
        </w:rPr>
        <w:t>ët</w:t>
      </w:r>
      <w:proofErr w:type="spellEnd"/>
      <w:r w:rsidRPr="00BE189C">
        <w:rPr>
          <w:rFonts w:asciiTheme="majorBidi" w:hAnsiTheme="majorBidi" w:cstheme="majorBidi"/>
          <w:sz w:val="24"/>
          <w:szCs w:val="24"/>
          <w:lang w:val="fr-FR"/>
        </w:rPr>
        <w:t xml:space="preserve"> e </w:t>
      </w:r>
      <w:proofErr w:type="spellStart"/>
      <w:r w:rsidRPr="00BE189C">
        <w:rPr>
          <w:rFonts w:asciiTheme="majorBidi" w:hAnsiTheme="majorBidi" w:cstheme="majorBidi"/>
          <w:sz w:val="24"/>
          <w:szCs w:val="24"/>
          <w:lang w:val="fr-FR"/>
        </w:rPr>
        <w:t>doksorubicinës</w:t>
      </w:r>
      <w:proofErr w:type="spellEnd"/>
      <w:r w:rsidRPr="00BE189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BE189C">
        <w:rPr>
          <w:rFonts w:asciiTheme="majorBidi" w:hAnsiTheme="majorBidi" w:cstheme="majorBidi"/>
          <w:sz w:val="24"/>
          <w:szCs w:val="24"/>
          <w:lang w:val="fr-FR"/>
        </w:rPr>
        <w:t>liposomale</w:t>
      </w:r>
      <w:proofErr w:type="spellEnd"/>
      <w:r w:rsidRPr="00BE189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BE189C">
        <w:rPr>
          <w:rFonts w:asciiTheme="majorBidi" w:hAnsiTheme="majorBidi" w:cstheme="majorBidi"/>
          <w:sz w:val="24"/>
          <w:szCs w:val="24"/>
          <w:lang w:val="fr-FR"/>
        </w:rPr>
        <w:t>të</w:t>
      </w:r>
      <w:proofErr w:type="spellEnd"/>
      <w:r w:rsidRPr="00BE189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BE189C">
        <w:rPr>
          <w:rFonts w:asciiTheme="majorBidi" w:hAnsiTheme="majorBidi" w:cstheme="majorBidi"/>
          <w:sz w:val="24"/>
          <w:szCs w:val="24"/>
          <w:lang w:val="fr-FR"/>
        </w:rPr>
        <w:t>pegiluar</w:t>
      </w:r>
      <w:proofErr w:type="spellEnd"/>
      <w:r w:rsidRPr="00BE189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duhet</w:t>
      </w:r>
      <w:proofErr w:type="spellEnd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të</w:t>
      </w:r>
      <w:proofErr w:type="spellEnd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paraqesin</w:t>
      </w:r>
      <w:proofErr w:type="spellEnd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një</w:t>
      </w:r>
      <w:proofErr w:type="spellEnd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variacion</w:t>
      </w:r>
      <w:proofErr w:type="spellEnd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sipas</w:t>
      </w:r>
      <w:proofErr w:type="spellEnd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legjislacionit</w:t>
      </w:r>
      <w:proofErr w:type="spellEnd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në</w:t>
      </w:r>
      <w:proofErr w:type="spellEnd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fuqi</w:t>
      </w:r>
      <w:proofErr w:type="spellEnd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në</w:t>
      </w:r>
      <w:proofErr w:type="spellEnd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Republikën</w:t>
      </w:r>
      <w:proofErr w:type="spellEnd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e </w:t>
      </w:r>
      <w:proofErr w:type="spellStart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Shqipërisë</w:t>
      </w:r>
      <w:proofErr w:type="spellEnd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, </w:t>
      </w:r>
      <w:proofErr w:type="spellStart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për</w:t>
      </w:r>
      <w:proofErr w:type="spellEnd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të</w:t>
      </w:r>
      <w:proofErr w:type="spellEnd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ndryshuar</w:t>
      </w:r>
      <w:proofErr w:type="spellEnd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informacionin</w:t>
      </w:r>
      <w:proofErr w:type="spellEnd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e </w:t>
      </w:r>
      <w:proofErr w:type="spellStart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produktit</w:t>
      </w:r>
      <w:proofErr w:type="spellEnd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siç</w:t>
      </w:r>
      <w:proofErr w:type="spellEnd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përshkruhet</w:t>
      </w:r>
      <w:proofErr w:type="spellEnd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më</w:t>
      </w:r>
      <w:proofErr w:type="spellEnd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poshtë</w:t>
      </w:r>
      <w:proofErr w:type="spellEnd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(</w:t>
      </w:r>
      <w:proofErr w:type="spellStart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teksti</w:t>
      </w:r>
      <w:proofErr w:type="spellEnd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i ri i </w:t>
      </w:r>
      <w:proofErr w:type="spellStart"/>
      <w:proofErr w:type="gramStart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>nënvizuar</w:t>
      </w:r>
      <w:proofErr w:type="spellEnd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)</w:t>
      </w:r>
      <w:proofErr w:type="gramEnd"/>
      <w:r w:rsidR="00BE189C" w:rsidRPr="005C06E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: </w:t>
      </w:r>
    </w:p>
    <w:p w14:paraId="339105F6" w14:textId="15FDE5A6" w:rsidR="002B33F9" w:rsidRDefault="002B33F9" w:rsidP="00BE189C">
      <w:pPr>
        <w:pStyle w:val="ListParagraph"/>
        <w:ind w:left="420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proofErr w:type="spellStart"/>
      <w:r w:rsidRPr="00BA4401">
        <w:rPr>
          <w:rFonts w:asciiTheme="majorBidi" w:hAnsiTheme="majorBidi" w:cstheme="majorBidi"/>
          <w:b/>
          <w:bCs/>
          <w:sz w:val="24"/>
          <w:szCs w:val="24"/>
          <w:lang w:val="fr-FR"/>
        </w:rPr>
        <w:t>Përmbledhje</w:t>
      </w:r>
      <w:proofErr w:type="spellEnd"/>
      <w:r w:rsidRPr="00BA4401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e </w:t>
      </w:r>
      <w:proofErr w:type="spellStart"/>
      <w:r w:rsidRPr="00BA4401">
        <w:rPr>
          <w:rFonts w:asciiTheme="majorBidi" w:hAnsiTheme="majorBidi" w:cstheme="majorBidi"/>
          <w:b/>
          <w:bCs/>
          <w:sz w:val="24"/>
          <w:szCs w:val="24"/>
          <w:lang w:val="fr-FR"/>
        </w:rPr>
        <w:t>karakteristikave</w:t>
      </w:r>
      <w:proofErr w:type="spellEnd"/>
      <w:r w:rsidRPr="00BA4401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proofErr w:type="spellStart"/>
      <w:r w:rsidRPr="00BA4401">
        <w:rPr>
          <w:rFonts w:asciiTheme="majorBidi" w:hAnsiTheme="majorBidi" w:cstheme="majorBidi"/>
          <w:b/>
          <w:bCs/>
          <w:sz w:val="24"/>
          <w:szCs w:val="24"/>
          <w:lang w:val="fr-FR"/>
        </w:rPr>
        <w:t>të</w:t>
      </w:r>
      <w:proofErr w:type="spellEnd"/>
      <w:r w:rsidRPr="00BA4401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proofErr w:type="spellStart"/>
      <w:r w:rsidRPr="00BA4401">
        <w:rPr>
          <w:rFonts w:asciiTheme="majorBidi" w:hAnsiTheme="majorBidi" w:cstheme="majorBidi"/>
          <w:b/>
          <w:bCs/>
          <w:sz w:val="24"/>
          <w:szCs w:val="24"/>
          <w:lang w:val="fr-FR"/>
        </w:rPr>
        <w:t>produktit</w:t>
      </w:r>
      <w:proofErr w:type="spellEnd"/>
    </w:p>
    <w:p w14:paraId="5E2FFCCF" w14:textId="77777777" w:rsidR="00BA4401" w:rsidRPr="00BA4401" w:rsidRDefault="00BA4401" w:rsidP="00BE189C">
      <w:pPr>
        <w:pStyle w:val="ListParagraph"/>
        <w:ind w:left="420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14:paraId="5D9E6AC2" w14:textId="77777777" w:rsidR="002B33F9" w:rsidRPr="002B33F9" w:rsidRDefault="002B33F9" w:rsidP="002B33F9">
      <w:pPr>
        <w:pStyle w:val="ListParagraph"/>
        <w:ind w:left="420"/>
        <w:rPr>
          <w:rFonts w:asciiTheme="majorBidi" w:hAnsiTheme="majorBidi" w:cstheme="majorBidi"/>
          <w:sz w:val="24"/>
          <w:szCs w:val="24"/>
          <w:lang w:val="fr-FR"/>
        </w:rPr>
      </w:pPr>
      <w:r w:rsidRPr="002B33F9">
        <w:rPr>
          <w:rFonts w:asciiTheme="majorBidi" w:hAnsiTheme="majorBidi" w:cstheme="majorBidi"/>
          <w:sz w:val="24"/>
          <w:szCs w:val="24"/>
          <w:lang w:val="fr-FR"/>
        </w:rPr>
        <w:t xml:space="preserve">4.8 </w:t>
      </w:r>
      <w:proofErr w:type="spellStart"/>
      <w:r w:rsidRPr="002B33F9">
        <w:rPr>
          <w:rFonts w:asciiTheme="majorBidi" w:hAnsiTheme="majorBidi" w:cstheme="majorBidi"/>
          <w:sz w:val="24"/>
          <w:szCs w:val="24"/>
          <w:lang w:val="fr-FR"/>
        </w:rPr>
        <w:t>Efektet</w:t>
      </w:r>
      <w:proofErr w:type="spellEnd"/>
      <w:r w:rsidRPr="002B33F9">
        <w:rPr>
          <w:rFonts w:asciiTheme="majorBidi" w:hAnsiTheme="majorBidi" w:cstheme="majorBidi"/>
          <w:sz w:val="24"/>
          <w:szCs w:val="24"/>
          <w:lang w:val="fr-FR"/>
        </w:rPr>
        <w:t xml:space="preserve"> e </w:t>
      </w:r>
      <w:proofErr w:type="spellStart"/>
      <w:r w:rsidRPr="002B33F9">
        <w:rPr>
          <w:rFonts w:asciiTheme="majorBidi" w:hAnsiTheme="majorBidi" w:cstheme="majorBidi"/>
          <w:sz w:val="24"/>
          <w:szCs w:val="24"/>
          <w:lang w:val="fr-FR"/>
        </w:rPr>
        <w:t>padëshiruara</w:t>
      </w:r>
      <w:proofErr w:type="spellEnd"/>
    </w:p>
    <w:p w14:paraId="21727DC1" w14:textId="5D001D73" w:rsidR="002B33F9" w:rsidRPr="002B33F9" w:rsidRDefault="00BA4401" w:rsidP="002B33F9">
      <w:pPr>
        <w:pStyle w:val="ListParagraph"/>
        <w:ind w:left="42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="002B33F9" w:rsidRPr="002B33F9">
        <w:rPr>
          <w:rFonts w:asciiTheme="majorBidi" w:hAnsiTheme="majorBidi" w:cstheme="majorBidi"/>
          <w:sz w:val="24"/>
          <w:szCs w:val="24"/>
          <w:lang w:val="fr-FR"/>
        </w:rPr>
        <w:t>O</w:t>
      </w:r>
      <w:r>
        <w:rPr>
          <w:rFonts w:asciiTheme="majorBidi" w:hAnsiTheme="majorBidi" w:cstheme="majorBidi"/>
          <w:sz w:val="24"/>
          <w:szCs w:val="24"/>
          <w:lang w:val="fr-FR"/>
        </w:rPr>
        <w:t>C</w:t>
      </w:r>
      <w:r w:rsidR="002B33F9" w:rsidRPr="002B33F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2B33F9" w:rsidRPr="002B33F9">
        <w:rPr>
          <w:rFonts w:asciiTheme="majorBidi" w:hAnsiTheme="majorBidi" w:cstheme="majorBidi"/>
          <w:sz w:val="24"/>
          <w:szCs w:val="24"/>
          <w:lang w:val="fr-FR"/>
        </w:rPr>
        <w:t>Çrregullime</w:t>
      </w:r>
      <w:proofErr w:type="spellEnd"/>
      <w:r w:rsidR="002B33F9" w:rsidRPr="002B33F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2B33F9" w:rsidRPr="002B33F9">
        <w:rPr>
          <w:rFonts w:asciiTheme="majorBidi" w:hAnsiTheme="majorBidi" w:cstheme="majorBidi"/>
          <w:sz w:val="24"/>
          <w:szCs w:val="24"/>
          <w:lang w:val="fr-FR"/>
        </w:rPr>
        <w:t>renale</w:t>
      </w:r>
      <w:proofErr w:type="spellEnd"/>
      <w:r w:rsidR="002B33F9" w:rsidRPr="002B33F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2B33F9" w:rsidRPr="002B33F9">
        <w:rPr>
          <w:rFonts w:asciiTheme="majorBidi" w:hAnsiTheme="majorBidi" w:cstheme="majorBidi"/>
          <w:sz w:val="24"/>
          <w:szCs w:val="24"/>
          <w:lang w:val="fr-FR"/>
        </w:rPr>
        <w:t>dhe</w:t>
      </w:r>
      <w:proofErr w:type="spellEnd"/>
      <w:r w:rsidR="002B33F9" w:rsidRPr="002B33F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proofErr w:type="gramStart"/>
      <w:r w:rsidR="002B33F9" w:rsidRPr="002B33F9">
        <w:rPr>
          <w:rFonts w:asciiTheme="majorBidi" w:hAnsiTheme="majorBidi" w:cstheme="majorBidi"/>
          <w:sz w:val="24"/>
          <w:szCs w:val="24"/>
          <w:lang w:val="fr-FR"/>
        </w:rPr>
        <w:t>urinare</w:t>
      </w:r>
      <w:proofErr w:type="spellEnd"/>
      <w:r w:rsidR="002B33F9" w:rsidRPr="002B33F9">
        <w:rPr>
          <w:rFonts w:asciiTheme="majorBidi" w:hAnsiTheme="majorBidi" w:cstheme="majorBidi"/>
          <w:sz w:val="24"/>
          <w:szCs w:val="24"/>
          <w:lang w:val="fr-FR"/>
        </w:rPr>
        <w:t>:</w:t>
      </w:r>
      <w:proofErr w:type="gramEnd"/>
    </w:p>
    <w:p w14:paraId="7C2D3F5B" w14:textId="404F1075" w:rsidR="006C031F" w:rsidRDefault="002B33F9" w:rsidP="002B33F9">
      <w:pPr>
        <w:pStyle w:val="ListParagraph"/>
        <w:ind w:left="420"/>
        <w:rPr>
          <w:rFonts w:asciiTheme="majorBidi" w:hAnsiTheme="majorBidi" w:cstheme="majorBidi"/>
          <w:sz w:val="24"/>
          <w:szCs w:val="24"/>
          <w:u w:val="single"/>
          <w:lang w:val="fr-FR"/>
        </w:rPr>
      </w:pPr>
      <w:proofErr w:type="spellStart"/>
      <w:r w:rsidRPr="00BA4401">
        <w:rPr>
          <w:rFonts w:asciiTheme="majorBidi" w:hAnsiTheme="majorBidi" w:cstheme="majorBidi"/>
          <w:sz w:val="24"/>
          <w:szCs w:val="24"/>
          <w:u w:val="single"/>
          <w:lang w:val="fr-FR"/>
        </w:rPr>
        <w:t>Mikroangiopatia</w:t>
      </w:r>
      <w:proofErr w:type="spellEnd"/>
      <w:r w:rsidRPr="00BA4401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BA4401">
        <w:rPr>
          <w:rFonts w:asciiTheme="majorBidi" w:hAnsiTheme="majorBidi" w:cstheme="majorBidi"/>
          <w:sz w:val="24"/>
          <w:szCs w:val="24"/>
          <w:u w:val="single"/>
          <w:lang w:val="fr-FR"/>
        </w:rPr>
        <w:t>trombotike</w:t>
      </w:r>
      <w:proofErr w:type="spellEnd"/>
      <w:r w:rsidRPr="00BA4401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e </w:t>
      </w:r>
      <w:proofErr w:type="spellStart"/>
      <w:r w:rsidRPr="00BA4401">
        <w:rPr>
          <w:rFonts w:asciiTheme="majorBidi" w:hAnsiTheme="majorBidi" w:cstheme="majorBidi"/>
          <w:sz w:val="24"/>
          <w:szCs w:val="24"/>
          <w:u w:val="single"/>
          <w:lang w:val="fr-FR"/>
        </w:rPr>
        <w:t>kufizuar</w:t>
      </w:r>
      <w:proofErr w:type="spellEnd"/>
      <w:r w:rsidRPr="00BA4401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BA4401">
        <w:rPr>
          <w:rFonts w:asciiTheme="majorBidi" w:hAnsiTheme="majorBidi" w:cstheme="majorBidi"/>
          <w:sz w:val="24"/>
          <w:szCs w:val="24"/>
          <w:u w:val="single"/>
          <w:lang w:val="fr-FR"/>
        </w:rPr>
        <w:t>nga</w:t>
      </w:r>
      <w:proofErr w:type="spellEnd"/>
      <w:r w:rsidRPr="00BA4401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proofErr w:type="gramStart"/>
      <w:r w:rsidRPr="00BA4401">
        <w:rPr>
          <w:rFonts w:asciiTheme="majorBidi" w:hAnsiTheme="majorBidi" w:cstheme="majorBidi"/>
          <w:sz w:val="24"/>
          <w:szCs w:val="24"/>
          <w:u w:val="single"/>
          <w:lang w:val="fr-FR"/>
        </w:rPr>
        <w:t>veshkat</w:t>
      </w:r>
      <w:proofErr w:type="spellEnd"/>
      <w:r w:rsidRPr="00BA4401">
        <w:rPr>
          <w:rFonts w:asciiTheme="majorBidi" w:hAnsiTheme="majorBidi" w:cstheme="majorBidi"/>
          <w:sz w:val="24"/>
          <w:szCs w:val="24"/>
          <w:u w:val="single"/>
          <w:lang w:val="fr-FR"/>
        </w:rPr>
        <w:t>:</w:t>
      </w:r>
      <w:proofErr w:type="gramEnd"/>
      <w:r w:rsidRPr="00BA4401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BA4401">
        <w:rPr>
          <w:rFonts w:asciiTheme="majorBidi" w:hAnsiTheme="majorBidi" w:cstheme="majorBidi"/>
          <w:sz w:val="24"/>
          <w:szCs w:val="24"/>
          <w:u w:val="single"/>
          <w:lang w:val="fr-FR"/>
        </w:rPr>
        <w:t>frekuenca</w:t>
      </w:r>
      <w:proofErr w:type="spellEnd"/>
      <w:r w:rsidRPr="00BA4401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- e </w:t>
      </w:r>
      <w:proofErr w:type="spellStart"/>
      <w:r w:rsidRPr="00BA4401">
        <w:rPr>
          <w:rFonts w:asciiTheme="majorBidi" w:hAnsiTheme="majorBidi" w:cstheme="majorBidi"/>
          <w:sz w:val="24"/>
          <w:szCs w:val="24"/>
          <w:u w:val="single"/>
          <w:lang w:val="fr-FR"/>
        </w:rPr>
        <w:t>panjohur</w:t>
      </w:r>
      <w:proofErr w:type="spellEnd"/>
    </w:p>
    <w:p w14:paraId="1956258F" w14:textId="77777777" w:rsidR="00F1609E" w:rsidRDefault="00F1609E" w:rsidP="002B33F9">
      <w:pPr>
        <w:pStyle w:val="ListParagraph"/>
        <w:ind w:left="420"/>
        <w:rPr>
          <w:rFonts w:asciiTheme="majorBidi" w:hAnsiTheme="majorBidi" w:cstheme="majorBidi"/>
          <w:sz w:val="24"/>
          <w:szCs w:val="24"/>
          <w:u w:val="single"/>
          <w:lang w:val="fr-FR"/>
        </w:rPr>
      </w:pPr>
    </w:p>
    <w:p w14:paraId="3E65F54C" w14:textId="77777777" w:rsidR="00F1609E" w:rsidRDefault="00F1609E" w:rsidP="00F1609E">
      <w:pPr>
        <w:pStyle w:val="ListParagraph"/>
        <w:ind w:left="420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proofErr w:type="spellStart"/>
      <w:r w:rsidRPr="00F1609E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Fletëdhëzuesi</w:t>
      </w:r>
      <w:proofErr w:type="spellEnd"/>
    </w:p>
    <w:p w14:paraId="41C8415A" w14:textId="77777777" w:rsidR="009C643A" w:rsidRPr="00F1609E" w:rsidRDefault="009C643A" w:rsidP="00F1609E">
      <w:pPr>
        <w:pStyle w:val="ListParagraph"/>
        <w:ind w:left="420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14:paraId="60FA00B6" w14:textId="082777B0" w:rsidR="00F1609E" w:rsidRPr="00F1609E" w:rsidRDefault="00F1609E" w:rsidP="00F1609E">
      <w:pPr>
        <w:pStyle w:val="ListParagraph"/>
        <w:ind w:left="420"/>
        <w:rPr>
          <w:rFonts w:asciiTheme="majorBidi" w:hAnsiTheme="majorBidi" w:cstheme="majorBidi"/>
          <w:sz w:val="24"/>
          <w:szCs w:val="24"/>
          <w:u w:val="single"/>
          <w:lang w:val="fr-FR"/>
        </w:rPr>
      </w:pPr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4 </w:t>
      </w:r>
      <w:proofErr w:type="spellStart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>Efektet</w:t>
      </w:r>
      <w:proofErr w:type="spellEnd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r w:rsidR="000E08ED" w:rsidRPr="000E08ED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e </w:t>
      </w:r>
      <w:proofErr w:type="spellStart"/>
      <w:r w:rsidR="000E08ED" w:rsidRPr="000E08ED">
        <w:rPr>
          <w:rFonts w:asciiTheme="majorBidi" w:hAnsiTheme="majorBidi" w:cstheme="majorBidi"/>
          <w:sz w:val="24"/>
          <w:szCs w:val="24"/>
          <w:u w:val="single"/>
          <w:lang w:val="fr-FR"/>
        </w:rPr>
        <w:t>padëshiruara</w:t>
      </w:r>
      <w:proofErr w:type="spellEnd"/>
      <w:r w:rsidR="000E08ED" w:rsidRPr="000E08ED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>të</w:t>
      </w:r>
      <w:proofErr w:type="spellEnd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>mundshme</w:t>
      </w:r>
      <w:proofErr w:type="spellEnd"/>
    </w:p>
    <w:p w14:paraId="79C73C24" w14:textId="71FA38D4" w:rsidR="00F1609E" w:rsidRPr="00BA4401" w:rsidRDefault="00F1609E" w:rsidP="00F1609E">
      <w:pPr>
        <w:pStyle w:val="ListParagraph"/>
        <w:ind w:left="420"/>
        <w:rPr>
          <w:rFonts w:asciiTheme="majorBidi" w:hAnsiTheme="majorBidi" w:cstheme="majorBidi"/>
          <w:sz w:val="24"/>
          <w:szCs w:val="24"/>
          <w:u w:val="single"/>
          <w:lang w:val="fr-FR"/>
        </w:rPr>
      </w:pPr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Nuk </w:t>
      </w:r>
      <w:proofErr w:type="spellStart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>dihet</w:t>
      </w:r>
      <w:proofErr w:type="spellEnd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(</w:t>
      </w:r>
      <w:proofErr w:type="spellStart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>frekuenca</w:t>
      </w:r>
      <w:proofErr w:type="spellEnd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>nuk</w:t>
      </w:r>
      <w:proofErr w:type="spellEnd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>mund</w:t>
      </w:r>
      <w:proofErr w:type="spellEnd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>të</w:t>
      </w:r>
      <w:proofErr w:type="spellEnd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>vlerësohet</w:t>
      </w:r>
      <w:proofErr w:type="spellEnd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>nga</w:t>
      </w:r>
      <w:proofErr w:type="spellEnd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>të</w:t>
      </w:r>
      <w:proofErr w:type="spellEnd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>dhënat</w:t>
      </w:r>
      <w:proofErr w:type="spellEnd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>në</w:t>
      </w:r>
      <w:proofErr w:type="spellEnd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>dispozicion</w:t>
      </w:r>
      <w:proofErr w:type="spellEnd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) - </w:t>
      </w:r>
      <w:proofErr w:type="spellStart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>bllokim</w:t>
      </w:r>
      <w:proofErr w:type="spellEnd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i </w:t>
      </w:r>
      <w:proofErr w:type="spellStart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>enëve</w:t>
      </w:r>
      <w:proofErr w:type="spellEnd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>shumë</w:t>
      </w:r>
      <w:proofErr w:type="spellEnd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>të</w:t>
      </w:r>
      <w:proofErr w:type="spellEnd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>vogla</w:t>
      </w:r>
      <w:proofErr w:type="spellEnd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>të</w:t>
      </w:r>
      <w:proofErr w:type="spellEnd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>gjakut</w:t>
      </w:r>
      <w:proofErr w:type="spellEnd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>në</w:t>
      </w:r>
      <w:proofErr w:type="spellEnd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>veshka</w:t>
      </w:r>
      <w:proofErr w:type="spellEnd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(</w:t>
      </w:r>
      <w:proofErr w:type="spellStart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>mikroangiopati</w:t>
      </w:r>
      <w:proofErr w:type="spellEnd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>trombotike</w:t>
      </w:r>
      <w:proofErr w:type="spellEnd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e </w:t>
      </w:r>
      <w:proofErr w:type="spellStart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>kufizuar</w:t>
      </w:r>
      <w:proofErr w:type="spellEnd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>nga</w:t>
      </w:r>
      <w:proofErr w:type="spellEnd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 </w:t>
      </w:r>
      <w:proofErr w:type="spellStart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>veshkat</w:t>
      </w:r>
      <w:proofErr w:type="spellEnd"/>
      <w:r w:rsidRPr="00F1609E">
        <w:rPr>
          <w:rFonts w:asciiTheme="majorBidi" w:hAnsiTheme="majorBidi" w:cstheme="majorBidi"/>
          <w:sz w:val="24"/>
          <w:szCs w:val="24"/>
          <w:u w:val="single"/>
          <w:lang w:val="fr-FR"/>
        </w:rPr>
        <w:t>)</w:t>
      </w:r>
    </w:p>
    <w:p w14:paraId="7D4157EA" w14:textId="77777777" w:rsidR="000E037E" w:rsidRDefault="000E037E" w:rsidP="00656C7C">
      <w:pPr>
        <w:spacing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val="fr-FR"/>
        </w:rPr>
      </w:pPr>
    </w:p>
    <w:p w14:paraId="1DE9B629" w14:textId="77777777" w:rsidR="000E037E" w:rsidRDefault="000E037E" w:rsidP="00656C7C">
      <w:pPr>
        <w:spacing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val="fr-FR"/>
        </w:rPr>
      </w:pPr>
    </w:p>
    <w:p w14:paraId="114B7062" w14:textId="77777777" w:rsidR="000E037E" w:rsidRDefault="000E037E" w:rsidP="00656C7C">
      <w:pPr>
        <w:spacing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val="fr-FR"/>
        </w:rPr>
      </w:pPr>
    </w:p>
    <w:p w14:paraId="5A019F0D" w14:textId="77777777" w:rsidR="000E037E" w:rsidRDefault="000E037E" w:rsidP="00656C7C">
      <w:pPr>
        <w:spacing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val="fr-FR"/>
        </w:rPr>
      </w:pPr>
    </w:p>
    <w:p w14:paraId="1FDAFFD7" w14:textId="77777777" w:rsidR="000E037E" w:rsidRDefault="000E037E" w:rsidP="00656C7C">
      <w:pPr>
        <w:spacing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val="fr-FR"/>
        </w:rPr>
      </w:pPr>
    </w:p>
    <w:p w14:paraId="1B76EEAB" w14:textId="77777777" w:rsidR="000E037E" w:rsidRDefault="000E037E" w:rsidP="00656C7C">
      <w:pPr>
        <w:spacing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val="fr-FR"/>
        </w:rPr>
      </w:pPr>
    </w:p>
    <w:p w14:paraId="1B55C347" w14:textId="77777777" w:rsidR="000E037E" w:rsidRDefault="000E037E" w:rsidP="00656C7C">
      <w:pPr>
        <w:spacing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val="fr-FR"/>
        </w:rPr>
      </w:pPr>
    </w:p>
    <w:p w14:paraId="3FB999D1" w14:textId="77777777" w:rsidR="000E037E" w:rsidRDefault="000E037E" w:rsidP="00656C7C">
      <w:pPr>
        <w:spacing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val="fr-FR"/>
        </w:rPr>
      </w:pPr>
    </w:p>
    <w:p w14:paraId="11AE4A58" w14:textId="77777777" w:rsidR="009C643A" w:rsidRDefault="009C643A" w:rsidP="00656C7C">
      <w:pPr>
        <w:spacing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val="fr-FR"/>
        </w:rPr>
      </w:pPr>
    </w:p>
    <w:p w14:paraId="19864DBB" w14:textId="77777777" w:rsidR="0047306F" w:rsidRDefault="0047306F" w:rsidP="000E037E">
      <w:pPr>
        <w:spacing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val="fr-FR"/>
        </w:rPr>
      </w:pPr>
    </w:p>
    <w:p w14:paraId="3EA1132D" w14:textId="4CD81ABB" w:rsidR="000B5332" w:rsidRPr="000E037E" w:rsidRDefault="000B5332" w:rsidP="000E037E">
      <w:pPr>
        <w:spacing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val="fr-FR"/>
        </w:rPr>
      </w:pPr>
      <w:r w:rsidRPr="005C06E8">
        <w:rPr>
          <w:rFonts w:asciiTheme="majorBidi" w:hAnsiTheme="majorBidi" w:cstheme="majorBidi"/>
          <w:b/>
          <w:bCs/>
          <w:color w:val="000000"/>
          <w:sz w:val="24"/>
          <w:szCs w:val="24"/>
          <w:lang w:val="fr-FR"/>
        </w:rPr>
        <w:lastRenderedPageBreak/>
        <w:t xml:space="preserve">2. </w:t>
      </w:r>
      <w:proofErr w:type="spellStart"/>
      <w:r w:rsidR="005D5F12" w:rsidRPr="005D5F12">
        <w:rPr>
          <w:rFonts w:asciiTheme="majorBidi" w:hAnsiTheme="majorBidi" w:cstheme="majorBidi"/>
          <w:b/>
          <w:bCs/>
          <w:color w:val="000000"/>
          <w:sz w:val="24"/>
          <w:szCs w:val="24"/>
          <w:lang w:val="fr-FR"/>
        </w:rPr>
        <w:t>Rekomandime</w:t>
      </w:r>
      <w:proofErr w:type="spellEnd"/>
      <w:r w:rsidR="005D5F12" w:rsidRPr="005D5F12">
        <w:rPr>
          <w:rFonts w:asciiTheme="majorBidi" w:hAnsiTheme="majorBidi" w:cstheme="majorBidi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5D5F12" w:rsidRPr="005D5F12">
        <w:rPr>
          <w:rFonts w:asciiTheme="majorBidi" w:hAnsiTheme="majorBidi" w:cstheme="majorBidi"/>
          <w:b/>
          <w:bCs/>
          <w:color w:val="000000"/>
          <w:sz w:val="24"/>
          <w:szCs w:val="24"/>
          <w:lang w:val="fr-FR"/>
        </w:rPr>
        <w:t>për</w:t>
      </w:r>
      <w:proofErr w:type="spellEnd"/>
      <w:r w:rsidR="005D5F12" w:rsidRPr="005D5F12">
        <w:rPr>
          <w:rFonts w:asciiTheme="majorBidi" w:hAnsiTheme="majorBidi" w:cstheme="majorBidi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5D5F12" w:rsidRPr="005D5F12">
        <w:rPr>
          <w:rFonts w:asciiTheme="majorBidi" w:hAnsiTheme="majorBidi" w:cstheme="majorBidi"/>
          <w:b/>
          <w:bCs/>
          <w:color w:val="000000"/>
          <w:sz w:val="24"/>
          <w:szCs w:val="24"/>
          <w:lang w:val="fr-FR"/>
        </w:rPr>
        <w:t>dorëzimin</w:t>
      </w:r>
      <w:proofErr w:type="spellEnd"/>
      <w:r w:rsidR="005D5F12" w:rsidRPr="005D5F12">
        <w:rPr>
          <w:rFonts w:asciiTheme="majorBidi" w:hAnsiTheme="majorBidi" w:cstheme="majorBidi"/>
          <w:b/>
          <w:bCs/>
          <w:color w:val="000000"/>
          <w:sz w:val="24"/>
          <w:szCs w:val="24"/>
          <w:lang w:val="fr-FR"/>
        </w:rPr>
        <w:t xml:space="preserve"> e </w:t>
      </w:r>
      <w:proofErr w:type="spellStart"/>
      <w:r w:rsidR="005D5F12" w:rsidRPr="005D5F12">
        <w:rPr>
          <w:rFonts w:asciiTheme="majorBidi" w:hAnsiTheme="majorBidi" w:cstheme="majorBidi"/>
          <w:b/>
          <w:bCs/>
          <w:color w:val="000000"/>
          <w:sz w:val="24"/>
          <w:szCs w:val="24"/>
          <w:lang w:val="fr-FR"/>
        </w:rPr>
        <w:t>informacionit</w:t>
      </w:r>
      <w:proofErr w:type="spellEnd"/>
      <w:r w:rsidR="005D5F12" w:rsidRPr="005D5F12">
        <w:rPr>
          <w:rFonts w:asciiTheme="majorBidi" w:hAnsiTheme="majorBidi" w:cstheme="majorBidi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5D5F12" w:rsidRPr="005D5F12">
        <w:rPr>
          <w:rFonts w:asciiTheme="majorBidi" w:hAnsiTheme="majorBidi" w:cstheme="majorBidi"/>
          <w:b/>
          <w:bCs/>
          <w:color w:val="000000"/>
          <w:sz w:val="24"/>
          <w:szCs w:val="24"/>
          <w:lang w:val="fr-FR"/>
        </w:rPr>
        <w:t>plotësues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B5332" w:rsidRPr="005C06E8" w14:paraId="317911A0" w14:textId="77777777" w:rsidTr="00435D76">
        <w:tc>
          <w:tcPr>
            <w:tcW w:w="1870" w:type="dxa"/>
          </w:tcPr>
          <w:p w14:paraId="44697CA4" w14:textId="77777777" w:rsidR="000B5332" w:rsidRPr="005C06E8" w:rsidRDefault="000B5332" w:rsidP="00435D76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5C06E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INN</w:t>
            </w:r>
          </w:p>
        </w:tc>
        <w:tc>
          <w:tcPr>
            <w:tcW w:w="1870" w:type="dxa"/>
          </w:tcPr>
          <w:p w14:paraId="1DDF6A82" w14:textId="77777777" w:rsidR="000B5332" w:rsidRPr="005C06E8" w:rsidRDefault="000B5332" w:rsidP="00435D76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5C06E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SINJAL</w:t>
            </w:r>
          </w:p>
        </w:tc>
        <w:tc>
          <w:tcPr>
            <w:tcW w:w="1870" w:type="dxa"/>
          </w:tcPr>
          <w:p w14:paraId="1F05C948" w14:textId="77777777" w:rsidR="000B5332" w:rsidRPr="005C06E8" w:rsidRDefault="000B5332" w:rsidP="00435D76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r w:rsidRPr="005C06E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Raportuesi</w:t>
            </w:r>
            <w:proofErr w:type="spellEnd"/>
            <w:r w:rsidRPr="005C06E8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06E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nga</w:t>
            </w:r>
            <w:proofErr w:type="spellEnd"/>
            <w:r w:rsidRPr="005C06E8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Prac</w:t>
            </w:r>
          </w:p>
        </w:tc>
        <w:tc>
          <w:tcPr>
            <w:tcW w:w="1870" w:type="dxa"/>
          </w:tcPr>
          <w:p w14:paraId="3C0790A5" w14:textId="77777777" w:rsidR="000B5332" w:rsidRPr="005C06E8" w:rsidRDefault="000B5332" w:rsidP="00435D76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5C06E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VEPRIME NGA MAH</w:t>
            </w:r>
          </w:p>
        </w:tc>
        <w:tc>
          <w:tcPr>
            <w:tcW w:w="1870" w:type="dxa"/>
          </w:tcPr>
          <w:p w14:paraId="0944DA58" w14:textId="77777777" w:rsidR="000B5332" w:rsidRPr="005C06E8" w:rsidRDefault="000B5332" w:rsidP="00435D76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5C06E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MAH</w:t>
            </w:r>
          </w:p>
        </w:tc>
      </w:tr>
      <w:tr w:rsidR="000B5332" w:rsidRPr="005C06E8" w14:paraId="592A7880" w14:textId="77777777" w:rsidTr="00435D76">
        <w:tc>
          <w:tcPr>
            <w:tcW w:w="1870" w:type="dxa"/>
          </w:tcPr>
          <w:p w14:paraId="1E9F220F" w14:textId="77777777" w:rsidR="003B6630" w:rsidRPr="003B6630" w:rsidRDefault="003B6630" w:rsidP="003B663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459EB">
              <w:rPr>
                <w:rFonts w:asciiTheme="majorBidi" w:hAnsiTheme="majorBidi" w:cstheme="majorBidi"/>
                <w:sz w:val="24"/>
                <w:szCs w:val="24"/>
              </w:rPr>
              <w:t>Atropinë</w:t>
            </w:r>
            <w:proofErr w:type="spellEnd"/>
          </w:p>
          <w:p w14:paraId="59EA5BAF" w14:textId="77777777" w:rsidR="003B6630" w:rsidRPr="003B6630" w:rsidRDefault="003B6630" w:rsidP="003B663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6630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gramStart"/>
            <w:r w:rsidRPr="003B6630">
              <w:rPr>
                <w:rFonts w:asciiTheme="majorBidi" w:hAnsiTheme="majorBidi" w:cstheme="majorBidi"/>
                <w:sz w:val="24"/>
                <w:szCs w:val="24"/>
              </w:rPr>
              <w:t>pika</w:t>
            </w:r>
            <w:proofErr w:type="gramEnd"/>
            <w:r w:rsidRPr="003B663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B6630">
              <w:rPr>
                <w:rFonts w:asciiTheme="majorBidi" w:hAnsiTheme="majorBidi" w:cstheme="majorBidi"/>
                <w:sz w:val="24"/>
                <w:szCs w:val="24"/>
              </w:rPr>
              <w:t>për</w:t>
            </w:r>
            <w:proofErr w:type="spellEnd"/>
            <w:r w:rsidRPr="003B663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B6630">
              <w:rPr>
                <w:rFonts w:asciiTheme="majorBidi" w:hAnsiTheme="majorBidi" w:cstheme="majorBidi"/>
                <w:sz w:val="24"/>
                <w:szCs w:val="24"/>
              </w:rPr>
              <w:t>sy</w:t>
            </w:r>
            <w:proofErr w:type="spellEnd"/>
          </w:p>
          <w:p w14:paraId="0ECC384C" w14:textId="77777777" w:rsidR="003B6630" w:rsidRPr="003B6630" w:rsidRDefault="003B6630" w:rsidP="003B663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B6630">
              <w:rPr>
                <w:rFonts w:asciiTheme="majorBidi" w:hAnsiTheme="majorBidi" w:cstheme="majorBidi"/>
                <w:sz w:val="24"/>
                <w:szCs w:val="24"/>
              </w:rPr>
              <w:t xml:space="preserve">e </w:t>
            </w:r>
            <w:proofErr w:type="spellStart"/>
            <w:r w:rsidRPr="003B6630">
              <w:rPr>
                <w:rFonts w:asciiTheme="majorBidi" w:hAnsiTheme="majorBidi" w:cstheme="majorBidi"/>
                <w:sz w:val="24"/>
                <w:szCs w:val="24"/>
              </w:rPr>
              <w:t>indikuar</w:t>
            </w:r>
            <w:proofErr w:type="spellEnd"/>
            <w:r w:rsidRPr="003B663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B6630">
              <w:rPr>
                <w:rFonts w:asciiTheme="majorBidi" w:hAnsiTheme="majorBidi" w:cstheme="majorBidi"/>
                <w:sz w:val="24"/>
                <w:szCs w:val="24"/>
              </w:rPr>
              <w:t>për</w:t>
            </w:r>
            <w:proofErr w:type="spellEnd"/>
          </w:p>
          <w:p w14:paraId="4B98686B" w14:textId="77777777" w:rsidR="003B6630" w:rsidRPr="003B6630" w:rsidRDefault="003B6630" w:rsidP="003B6630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3B663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ngadalësimin</w:t>
            </w:r>
            <w:proofErr w:type="spellEnd"/>
            <w:proofErr w:type="gramEnd"/>
            <w:r w:rsidRPr="003B6630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e</w:t>
            </w:r>
          </w:p>
          <w:p w14:paraId="30EA9C2D" w14:textId="77777777" w:rsidR="003B6630" w:rsidRPr="003B6630" w:rsidRDefault="003B6630" w:rsidP="003B6630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3B663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përparimit</w:t>
            </w:r>
            <w:proofErr w:type="spellEnd"/>
            <w:proofErr w:type="gramEnd"/>
            <w:r w:rsidRPr="003B6630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B663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të</w:t>
            </w:r>
            <w:proofErr w:type="spellEnd"/>
          </w:p>
          <w:p w14:paraId="337632E1" w14:textId="77777777" w:rsidR="003B6630" w:rsidRPr="003B6630" w:rsidRDefault="003B6630" w:rsidP="003B6630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3B663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miopisë</w:t>
            </w:r>
            <w:proofErr w:type="spellEnd"/>
            <w:proofErr w:type="gramEnd"/>
            <w:r w:rsidRPr="003B6630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te</w:t>
            </w:r>
          </w:p>
          <w:p w14:paraId="588AB4FC" w14:textId="77777777" w:rsidR="003B6630" w:rsidRPr="003B6630" w:rsidRDefault="003B6630" w:rsidP="003B6630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3B663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pacientët</w:t>
            </w:r>
            <w:proofErr w:type="spellEnd"/>
            <w:proofErr w:type="gramEnd"/>
          </w:p>
          <w:p w14:paraId="0CA5EEAF" w14:textId="3675B1B3" w:rsidR="000B5332" w:rsidRPr="005C06E8" w:rsidRDefault="003B6630" w:rsidP="003B6630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3B663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pediatrikë</w:t>
            </w:r>
            <w:proofErr w:type="spellEnd"/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)</w:t>
            </w:r>
          </w:p>
        </w:tc>
        <w:tc>
          <w:tcPr>
            <w:tcW w:w="1870" w:type="dxa"/>
          </w:tcPr>
          <w:p w14:paraId="54C274F5" w14:textId="7065EE95" w:rsidR="000B5332" w:rsidRPr="005C06E8" w:rsidRDefault="002166B3" w:rsidP="00435D76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2166B3">
              <w:rPr>
                <w:rFonts w:asciiTheme="majorBidi" w:hAnsiTheme="majorBidi" w:cstheme="majorBidi"/>
                <w:sz w:val="24"/>
                <w:szCs w:val="24"/>
              </w:rPr>
              <w:t>Strabismus (20244)</w:t>
            </w:r>
          </w:p>
        </w:tc>
        <w:tc>
          <w:tcPr>
            <w:tcW w:w="1870" w:type="dxa"/>
          </w:tcPr>
          <w:p w14:paraId="46A1F310" w14:textId="77777777" w:rsidR="002166B3" w:rsidRPr="002166B3" w:rsidRDefault="002166B3" w:rsidP="002166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66B3">
              <w:rPr>
                <w:rFonts w:asciiTheme="majorBidi" w:hAnsiTheme="majorBidi" w:cstheme="majorBidi"/>
                <w:sz w:val="24"/>
                <w:szCs w:val="24"/>
              </w:rPr>
              <w:t xml:space="preserve">Martin </w:t>
            </w:r>
          </w:p>
          <w:p w14:paraId="430DBC7C" w14:textId="4DF68022" w:rsidR="000B5332" w:rsidRPr="005C06E8" w:rsidRDefault="002166B3" w:rsidP="002166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66B3">
              <w:rPr>
                <w:rFonts w:asciiTheme="majorBidi" w:hAnsiTheme="majorBidi" w:cstheme="majorBidi"/>
                <w:sz w:val="24"/>
                <w:szCs w:val="24"/>
              </w:rPr>
              <w:t>Huber (DE)</w:t>
            </w:r>
          </w:p>
        </w:tc>
        <w:tc>
          <w:tcPr>
            <w:tcW w:w="1870" w:type="dxa"/>
          </w:tcPr>
          <w:p w14:paraId="0104C6F4" w14:textId="78074CB0" w:rsidR="000B5332" w:rsidRPr="005C06E8" w:rsidRDefault="002C6C4E" w:rsidP="00435D7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C6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Vlerësoni</w:t>
            </w:r>
            <w:proofErr w:type="spellEnd"/>
            <w:r w:rsidRPr="002C6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6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në</w:t>
            </w:r>
            <w:proofErr w:type="spellEnd"/>
            <w:r w:rsidRPr="002C6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PSUR-</w:t>
            </w:r>
            <w:proofErr w:type="spellStart"/>
            <w:r w:rsidRPr="002C6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në</w:t>
            </w:r>
            <w:proofErr w:type="spellEnd"/>
            <w:r w:rsidRPr="002C6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6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në</w:t>
            </w:r>
            <w:proofErr w:type="spellEnd"/>
            <w:r w:rsidRPr="002C6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6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vazhdim</w:t>
            </w:r>
            <w:proofErr w:type="spellEnd"/>
            <w:r w:rsidRPr="002C6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2C6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dorëzimi</w:t>
            </w:r>
            <w:proofErr w:type="spellEnd"/>
            <w:r w:rsidRPr="002C6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6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  <w:proofErr w:type="spellEnd"/>
            <w:r w:rsidRPr="002C6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6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të</w:t>
            </w:r>
            <w:proofErr w:type="spellEnd"/>
            <w:r w:rsidRPr="002C6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6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dhënave</w:t>
            </w:r>
            <w:proofErr w:type="spellEnd"/>
            <w:r w:rsidRPr="002C6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6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deri</w:t>
            </w:r>
            <w:proofErr w:type="spellEnd"/>
            <w:r w:rsidRPr="002C6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6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më</w:t>
            </w:r>
            <w:proofErr w:type="spellEnd"/>
            <w:r w:rsidRPr="002C6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12 mars 2026 me </w:t>
            </w:r>
            <w:proofErr w:type="spellStart"/>
            <w:r w:rsidRPr="002C6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komentet</w:t>
            </w:r>
            <w:proofErr w:type="spellEnd"/>
            <w:r w:rsidRPr="002C6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e MAH-</w:t>
            </w:r>
            <w:proofErr w:type="spellStart"/>
            <w:r w:rsidRPr="002C6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së</w:t>
            </w:r>
            <w:proofErr w:type="spellEnd"/>
            <w:r w:rsidRPr="002C6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6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ndaj</w:t>
            </w:r>
            <w:proofErr w:type="spellEnd"/>
            <w:r w:rsidRPr="002C6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6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raportit</w:t>
            </w:r>
            <w:proofErr w:type="spellEnd"/>
            <w:r w:rsidRPr="002C6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6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të</w:t>
            </w:r>
            <w:proofErr w:type="spellEnd"/>
            <w:r w:rsidRPr="002C6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6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vlerësimit</w:t>
            </w:r>
            <w:proofErr w:type="spellEnd"/>
            <w:r w:rsidRPr="002C6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6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paraprak</w:t>
            </w:r>
            <w:proofErr w:type="spellEnd"/>
            <w:r w:rsidRPr="002C6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6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të</w:t>
            </w:r>
            <w:proofErr w:type="spellEnd"/>
            <w:r w:rsidRPr="002C6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PSUR-</w:t>
            </w:r>
            <w:proofErr w:type="spellStart"/>
            <w:r w:rsidRPr="002C6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së</w:t>
            </w:r>
            <w:proofErr w:type="spellEnd"/>
            <w:r w:rsidRPr="002C6C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70" w:type="dxa"/>
          </w:tcPr>
          <w:p w14:paraId="2F513351" w14:textId="733E1C28" w:rsidR="000B5332" w:rsidRPr="005C06E8" w:rsidRDefault="002C6C4E" w:rsidP="00435D7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6C4E">
              <w:rPr>
                <w:rFonts w:asciiTheme="majorBidi" w:hAnsiTheme="majorBidi" w:cstheme="majorBidi"/>
                <w:sz w:val="24"/>
                <w:szCs w:val="24"/>
              </w:rPr>
              <w:t>Santen Oy</w:t>
            </w:r>
          </w:p>
        </w:tc>
      </w:tr>
      <w:tr w:rsidR="000B5332" w:rsidRPr="005C06E8" w14:paraId="44ACE489" w14:textId="77777777" w:rsidTr="00435D76">
        <w:tc>
          <w:tcPr>
            <w:tcW w:w="1870" w:type="dxa"/>
          </w:tcPr>
          <w:p w14:paraId="4D5DB62E" w14:textId="45DF0B6D" w:rsidR="000B5332" w:rsidRPr="005C06E8" w:rsidRDefault="00E8539C" w:rsidP="00435D7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459EB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Darolutamide</w:t>
            </w:r>
          </w:p>
        </w:tc>
        <w:tc>
          <w:tcPr>
            <w:tcW w:w="1870" w:type="dxa"/>
          </w:tcPr>
          <w:p w14:paraId="1F22E59E" w14:textId="0A4D1136" w:rsidR="000B5332" w:rsidRPr="005C06E8" w:rsidRDefault="00304788" w:rsidP="00435D7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t xml:space="preserve">Angioedema (20237) </w:t>
            </w:r>
          </w:p>
        </w:tc>
        <w:tc>
          <w:tcPr>
            <w:tcW w:w="1870" w:type="dxa"/>
          </w:tcPr>
          <w:p w14:paraId="491BE2D1" w14:textId="77777777" w:rsidR="00304788" w:rsidRPr="00304788" w:rsidRDefault="00304788" w:rsidP="0030478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04788">
              <w:rPr>
                <w:rFonts w:asciiTheme="majorBidi" w:hAnsiTheme="majorBidi" w:cstheme="majorBidi"/>
                <w:sz w:val="24"/>
                <w:szCs w:val="24"/>
              </w:rPr>
              <w:t xml:space="preserve">Jan </w:t>
            </w:r>
          </w:p>
          <w:p w14:paraId="4DD94491" w14:textId="77777777" w:rsidR="00304788" w:rsidRPr="00304788" w:rsidRDefault="00304788" w:rsidP="0030478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04788">
              <w:rPr>
                <w:rFonts w:asciiTheme="majorBidi" w:hAnsiTheme="majorBidi" w:cstheme="majorBidi"/>
                <w:sz w:val="24"/>
                <w:szCs w:val="24"/>
              </w:rPr>
              <w:t xml:space="preserve">Neuhauser </w:t>
            </w:r>
          </w:p>
          <w:p w14:paraId="18CFAF40" w14:textId="232843F2" w:rsidR="000B5332" w:rsidRPr="005C06E8" w:rsidRDefault="00304788" w:rsidP="0030478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04788">
              <w:rPr>
                <w:rFonts w:asciiTheme="majorBidi" w:hAnsiTheme="majorBidi" w:cstheme="majorBidi"/>
                <w:sz w:val="24"/>
                <w:szCs w:val="24"/>
              </w:rPr>
              <w:t>(AT)</w:t>
            </w:r>
          </w:p>
        </w:tc>
        <w:tc>
          <w:tcPr>
            <w:tcW w:w="1870" w:type="dxa"/>
          </w:tcPr>
          <w:p w14:paraId="7282DD59" w14:textId="0AF7719C" w:rsidR="000B5332" w:rsidRPr="005C06E8" w:rsidRDefault="00D8164A" w:rsidP="00435D7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D816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Informacion</w:t>
            </w:r>
            <w:proofErr w:type="spellEnd"/>
            <w:r w:rsidRPr="00D816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16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plotësues</w:t>
            </w:r>
            <w:proofErr w:type="spellEnd"/>
            <w:r w:rsidRPr="00D816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16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  <w:proofErr w:type="spellEnd"/>
            <w:r w:rsidRPr="00D816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16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kërkuar</w:t>
            </w:r>
            <w:proofErr w:type="spellEnd"/>
            <w:r w:rsidRPr="00D816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816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paraqitja</w:t>
            </w:r>
            <w:proofErr w:type="spellEnd"/>
            <w:r w:rsidRPr="00D816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16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deri</w:t>
            </w:r>
            <w:proofErr w:type="spellEnd"/>
            <w:r w:rsidRPr="00D816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16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më</w:t>
            </w:r>
            <w:proofErr w:type="spellEnd"/>
            <w:r w:rsidRPr="00D816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8 </w:t>
            </w:r>
            <w:proofErr w:type="spellStart"/>
            <w:r w:rsidRPr="00D816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prill</w:t>
            </w:r>
            <w:proofErr w:type="spellEnd"/>
            <w:r w:rsidRPr="00D816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2026)</w:t>
            </w:r>
          </w:p>
        </w:tc>
        <w:tc>
          <w:tcPr>
            <w:tcW w:w="1870" w:type="dxa"/>
          </w:tcPr>
          <w:p w14:paraId="21729AE4" w14:textId="07D88B05" w:rsidR="000B5332" w:rsidRPr="005C06E8" w:rsidRDefault="00456516" w:rsidP="00435D7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56516">
              <w:rPr>
                <w:rFonts w:asciiTheme="majorBidi" w:hAnsiTheme="majorBidi" w:cstheme="majorBidi"/>
                <w:sz w:val="24"/>
                <w:szCs w:val="24"/>
              </w:rPr>
              <w:t xml:space="preserve">Bayer AG </w:t>
            </w:r>
          </w:p>
        </w:tc>
      </w:tr>
      <w:tr w:rsidR="002C6C4E" w:rsidRPr="005C06E8" w14:paraId="0CF42583" w14:textId="77777777" w:rsidTr="00435D76">
        <w:tc>
          <w:tcPr>
            <w:tcW w:w="1870" w:type="dxa"/>
          </w:tcPr>
          <w:p w14:paraId="0AFD0188" w14:textId="1957A865" w:rsidR="002C6C4E" w:rsidRPr="00E8539C" w:rsidRDefault="009F0285" w:rsidP="009F02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F0285">
              <w:rPr>
                <w:rFonts w:asciiTheme="majorBidi" w:hAnsiTheme="majorBidi" w:cstheme="majorBidi"/>
                <w:sz w:val="24"/>
                <w:szCs w:val="24"/>
              </w:rPr>
              <w:t>Oxacillin</w:t>
            </w:r>
          </w:p>
        </w:tc>
        <w:tc>
          <w:tcPr>
            <w:tcW w:w="1870" w:type="dxa"/>
          </w:tcPr>
          <w:p w14:paraId="2730696B" w14:textId="35186E77" w:rsidR="002C6C4E" w:rsidRDefault="005171D1" w:rsidP="00435D76">
            <w:proofErr w:type="spellStart"/>
            <w:r w:rsidRPr="005171D1">
              <w:t>Reagimi</w:t>
            </w:r>
            <w:proofErr w:type="spellEnd"/>
            <w:r w:rsidRPr="005171D1">
              <w:t xml:space="preserve"> </w:t>
            </w:r>
            <w:proofErr w:type="spellStart"/>
            <w:r w:rsidRPr="005171D1">
              <w:t>ndaj</w:t>
            </w:r>
            <w:proofErr w:type="spellEnd"/>
            <w:r w:rsidRPr="005171D1">
              <w:t xml:space="preserve"> </w:t>
            </w:r>
            <w:r>
              <w:t>bari</w:t>
            </w:r>
            <w:r w:rsidRPr="005171D1">
              <w:t xml:space="preserve">t me </w:t>
            </w:r>
            <w:proofErr w:type="spellStart"/>
            <w:r w:rsidRPr="005171D1">
              <w:t>eozinofili</w:t>
            </w:r>
            <w:proofErr w:type="spellEnd"/>
            <w:r w:rsidRPr="005171D1">
              <w:t xml:space="preserve"> </w:t>
            </w:r>
            <w:proofErr w:type="spellStart"/>
            <w:r w:rsidRPr="005171D1">
              <w:t>dhe</w:t>
            </w:r>
            <w:proofErr w:type="spellEnd"/>
            <w:r w:rsidRPr="005171D1">
              <w:t xml:space="preserve"> </w:t>
            </w:r>
            <w:proofErr w:type="spellStart"/>
            <w:r w:rsidRPr="005171D1">
              <w:t>simptoma</w:t>
            </w:r>
            <w:proofErr w:type="spellEnd"/>
            <w:r w:rsidRPr="005171D1">
              <w:t xml:space="preserve"> </w:t>
            </w:r>
            <w:proofErr w:type="spellStart"/>
            <w:r w:rsidRPr="005171D1">
              <w:t>sistemike</w:t>
            </w:r>
            <w:proofErr w:type="spellEnd"/>
            <w:r w:rsidRPr="005171D1">
              <w:t xml:space="preserve"> (DRESS) (20223)</w:t>
            </w:r>
          </w:p>
        </w:tc>
        <w:tc>
          <w:tcPr>
            <w:tcW w:w="1870" w:type="dxa"/>
          </w:tcPr>
          <w:p w14:paraId="1E421533" w14:textId="77777777" w:rsidR="0026503C" w:rsidRPr="0026503C" w:rsidRDefault="0026503C" w:rsidP="0026503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6503C">
              <w:rPr>
                <w:rFonts w:asciiTheme="majorBidi" w:hAnsiTheme="majorBidi" w:cstheme="majorBidi"/>
                <w:sz w:val="24"/>
                <w:szCs w:val="24"/>
              </w:rPr>
              <w:t xml:space="preserve">Eva Jirsová </w:t>
            </w:r>
          </w:p>
          <w:p w14:paraId="0748EB64" w14:textId="6833F6AE" w:rsidR="002C6C4E" w:rsidRPr="00304788" w:rsidRDefault="0026503C" w:rsidP="0026503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6503C">
              <w:rPr>
                <w:rFonts w:asciiTheme="majorBidi" w:hAnsiTheme="majorBidi" w:cstheme="majorBidi"/>
                <w:sz w:val="24"/>
                <w:szCs w:val="24"/>
              </w:rPr>
              <w:t>(CZ)</w:t>
            </w:r>
          </w:p>
        </w:tc>
        <w:tc>
          <w:tcPr>
            <w:tcW w:w="1870" w:type="dxa"/>
          </w:tcPr>
          <w:p w14:paraId="137B13AD" w14:textId="48B95DD1" w:rsidR="002C6C4E" w:rsidRPr="00D8164A" w:rsidRDefault="0026503C" w:rsidP="00435D7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650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Informacion</w:t>
            </w:r>
            <w:proofErr w:type="spellEnd"/>
            <w:r w:rsidRPr="002650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650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plotësues</w:t>
            </w:r>
            <w:proofErr w:type="spellEnd"/>
            <w:r w:rsidRPr="002650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650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  <w:proofErr w:type="spellEnd"/>
            <w:r w:rsidRPr="002650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650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kërkuar</w:t>
            </w:r>
            <w:proofErr w:type="spellEnd"/>
            <w:r w:rsidRPr="002650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2650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paraqitja</w:t>
            </w:r>
            <w:proofErr w:type="spellEnd"/>
            <w:r w:rsidRPr="002650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650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deri</w:t>
            </w:r>
            <w:proofErr w:type="spellEnd"/>
            <w:r w:rsidRPr="002650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650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më</w:t>
            </w:r>
            <w:proofErr w:type="spellEnd"/>
            <w:r w:rsidRPr="002650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8 </w:t>
            </w:r>
            <w:proofErr w:type="spellStart"/>
            <w:r w:rsidRPr="002650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prill</w:t>
            </w:r>
            <w:proofErr w:type="spellEnd"/>
            <w:r w:rsidRPr="002650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2026)</w:t>
            </w:r>
          </w:p>
        </w:tc>
        <w:tc>
          <w:tcPr>
            <w:tcW w:w="1870" w:type="dxa"/>
          </w:tcPr>
          <w:p w14:paraId="75F41F57" w14:textId="77777777" w:rsidR="00A334A0" w:rsidRPr="00A334A0" w:rsidRDefault="00A334A0" w:rsidP="00A334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334A0">
              <w:rPr>
                <w:rFonts w:asciiTheme="majorBidi" w:hAnsiTheme="majorBidi" w:cstheme="majorBidi"/>
                <w:sz w:val="24"/>
                <w:szCs w:val="24"/>
              </w:rPr>
              <w:t xml:space="preserve">Laboratoires </w:t>
            </w:r>
          </w:p>
          <w:p w14:paraId="73AE9E19" w14:textId="31634025" w:rsidR="002C6C4E" w:rsidRPr="00456516" w:rsidRDefault="00A334A0" w:rsidP="00A334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334A0">
              <w:rPr>
                <w:rFonts w:asciiTheme="majorBidi" w:hAnsiTheme="majorBidi" w:cstheme="majorBidi"/>
                <w:sz w:val="24"/>
                <w:szCs w:val="24"/>
              </w:rPr>
              <w:t>Delbert</w:t>
            </w:r>
          </w:p>
        </w:tc>
      </w:tr>
      <w:tr w:rsidR="00A334A0" w:rsidRPr="005C06E8" w14:paraId="67C17D1E" w14:textId="77777777" w:rsidTr="00435D76">
        <w:tc>
          <w:tcPr>
            <w:tcW w:w="1870" w:type="dxa"/>
          </w:tcPr>
          <w:p w14:paraId="5B52021E" w14:textId="232261BE" w:rsidR="00A334A0" w:rsidRPr="009F0285" w:rsidRDefault="00353EDC" w:rsidP="009F02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53EDC">
              <w:rPr>
                <w:rFonts w:asciiTheme="majorBidi" w:hAnsiTheme="majorBidi" w:cstheme="majorBidi"/>
                <w:sz w:val="24"/>
                <w:szCs w:val="24"/>
              </w:rPr>
              <w:t>Vortioxetine</w:t>
            </w:r>
          </w:p>
        </w:tc>
        <w:tc>
          <w:tcPr>
            <w:tcW w:w="1870" w:type="dxa"/>
          </w:tcPr>
          <w:p w14:paraId="05906B8B" w14:textId="77777777" w:rsidR="00F01E55" w:rsidRDefault="00F01E55" w:rsidP="00F01E55">
            <w:r>
              <w:t xml:space="preserve">Acute pancreatitis </w:t>
            </w:r>
          </w:p>
          <w:p w14:paraId="74280E17" w14:textId="107A5584" w:rsidR="00A334A0" w:rsidRPr="005171D1" w:rsidRDefault="00F01E55" w:rsidP="00F01E55">
            <w:r>
              <w:t>(20234)</w:t>
            </w:r>
          </w:p>
        </w:tc>
        <w:tc>
          <w:tcPr>
            <w:tcW w:w="1870" w:type="dxa"/>
          </w:tcPr>
          <w:p w14:paraId="43B05368" w14:textId="77777777" w:rsidR="005067B3" w:rsidRPr="005067B3" w:rsidRDefault="005067B3" w:rsidP="005067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67B3">
              <w:rPr>
                <w:rFonts w:asciiTheme="majorBidi" w:hAnsiTheme="majorBidi" w:cstheme="majorBidi"/>
                <w:sz w:val="24"/>
                <w:szCs w:val="24"/>
              </w:rPr>
              <w:t xml:space="preserve">Jo </w:t>
            </w:r>
            <w:proofErr w:type="spellStart"/>
            <w:r w:rsidRPr="005067B3">
              <w:rPr>
                <w:rFonts w:asciiTheme="majorBidi" w:hAnsiTheme="majorBidi" w:cstheme="majorBidi"/>
                <w:sz w:val="24"/>
                <w:szCs w:val="24"/>
              </w:rPr>
              <w:t>Robays</w:t>
            </w:r>
            <w:proofErr w:type="spellEnd"/>
            <w:r w:rsidRPr="005067B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FB1765A" w14:textId="5E7C8802" w:rsidR="00A334A0" w:rsidRPr="0026503C" w:rsidRDefault="005067B3" w:rsidP="005067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67B3">
              <w:rPr>
                <w:rFonts w:asciiTheme="majorBidi" w:hAnsiTheme="majorBidi" w:cstheme="majorBidi"/>
                <w:sz w:val="24"/>
                <w:szCs w:val="24"/>
              </w:rPr>
              <w:t>(BE)</w:t>
            </w:r>
          </w:p>
        </w:tc>
        <w:tc>
          <w:tcPr>
            <w:tcW w:w="1870" w:type="dxa"/>
          </w:tcPr>
          <w:p w14:paraId="1616270D" w14:textId="55CDE5D3" w:rsidR="00A334A0" w:rsidRPr="0026503C" w:rsidRDefault="006D1D29" w:rsidP="00435D7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Informacion</w:t>
            </w:r>
            <w:proofErr w:type="spellEnd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plotësues</w:t>
            </w:r>
            <w:proofErr w:type="spellEnd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  <w:proofErr w:type="spellEnd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kërkuar</w:t>
            </w:r>
            <w:proofErr w:type="spellEnd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paraqitja</w:t>
            </w:r>
            <w:proofErr w:type="spellEnd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deri</w:t>
            </w:r>
            <w:proofErr w:type="spellEnd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më</w:t>
            </w:r>
            <w:proofErr w:type="spellEnd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8 </w:t>
            </w:r>
            <w:proofErr w:type="spellStart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prill</w:t>
            </w:r>
            <w:proofErr w:type="spellEnd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2026)</w:t>
            </w:r>
          </w:p>
        </w:tc>
        <w:tc>
          <w:tcPr>
            <w:tcW w:w="1870" w:type="dxa"/>
          </w:tcPr>
          <w:p w14:paraId="7008C91A" w14:textId="77777777" w:rsidR="00A334A0" w:rsidRPr="00A334A0" w:rsidRDefault="00A334A0" w:rsidP="00A334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334A0">
              <w:rPr>
                <w:rFonts w:asciiTheme="majorBidi" w:hAnsiTheme="majorBidi" w:cstheme="majorBidi"/>
                <w:sz w:val="24"/>
                <w:szCs w:val="24"/>
              </w:rPr>
              <w:t xml:space="preserve">H. Lundbeck </w:t>
            </w:r>
          </w:p>
          <w:p w14:paraId="6AE4D4B8" w14:textId="1C17D5E5" w:rsidR="00A334A0" w:rsidRPr="00A334A0" w:rsidRDefault="00A334A0" w:rsidP="00A334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334A0">
              <w:rPr>
                <w:rFonts w:asciiTheme="majorBidi" w:hAnsiTheme="majorBidi" w:cstheme="majorBidi"/>
                <w:sz w:val="24"/>
                <w:szCs w:val="24"/>
              </w:rPr>
              <w:t>A/S</w:t>
            </w:r>
          </w:p>
        </w:tc>
      </w:tr>
      <w:tr w:rsidR="00A334A0" w:rsidRPr="005C06E8" w14:paraId="79DACA95" w14:textId="77777777" w:rsidTr="00435D76">
        <w:tc>
          <w:tcPr>
            <w:tcW w:w="1870" w:type="dxa"/>
          </w:tcPr>
          <w:p w14:paraId="372CD383" w14:textId="77777777" w:rsidR="00F01E55" w:rsidRPr="00F01E55" w:rsidRDefault="00F01E55" w:rsidP="00F01E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01E55">
              <w:rPr>
                <w:rFonts w:asciiTheme="majorBidi" w:hAnsiTheme="majorBidi" w:cstheme="majorBidi"/>
                <w:sz w:val="24"/>
                <w:szCs w:val="24"/>
              </w:rPr>
              <w:t xml:space="preserve">X-ray contrast </w:t>
            </w:r>
          </w:p>
          <w:p w14:paraId="4DBB0EDF" w14:textId="77777777" w:rsidR="00F01E55" w:rsidRPr="00F01E55" w:rsidRDefault="00F01E55" w:rsidP="00F01E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01E55">
              <w:rPr>
                <w:rFonts w:asciiTheme="majorBidi" w:hAnsiTheme="majorBidi" w:cstheme="majorBidi"/>
                <w:sz w:val="24"/>
                <w:szCs w:val="24"/>
              </w:rPr>
              <w:t xml:space="preserve">agents: </w:t>
            </w:r>
          </w:p>
          <w:p w14:paraId="1C366964" w14:textId="77777777" w:rsidR="00F01E55" w:rsidRPr="00F01E55" w:rsidRDefault="00F01E55" w:rsidP="00F01E5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F01E55">
              <w:rPr>
                <w:rFonts w:asciiTheme="majorBidi" w:hAnsiTheme="majorBidi" w:cstheme="majorBidi"/>
                <w:sz w:val="24"/>
                <w:szCs w:val="24"/>
              </w:rPr>
              <w:t>iobitridol;</w:t>
            </w:r>
            <w:proofErr w:type="gramEnd"/>
            <w:r w:rsidRPr="00F01E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E75D5C7" w14:textId="77777777" w:rsidR="00F01E55" w:rsidRPr="00F01E55" w:rsidRDefault="00F01E55" w:rsidP="00F01E5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F01E55">
              <w:rPr>
                <w:rFonts w:asciiTheme="majorBidi" w:hAnsiTheme="majorBidi" w:cstheme="majorBidi"/>
                <w:sz w:val="24"/>
                <w:szCs w:val="24"/>
              </w:rPr>
              <w:t>iodixanol;</w:t>
            </w:r>
            <w:proofErr w:type="gramEnd"/>
            <w:r w:rsidRPr="00F01E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99712D4" w14:textId="77777777" w:rsidR="00F01E55" w:rsidRPr="00F01E55" w:rsidRDefault="00F01E55" w:rsidP="00F01E5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proofErr w:type="gramStart"/>
            <w:r w:rsidRPr="00F01E55">
              <w:rPr>
                <w:rFonts w:asciiTheme="majorBidi" w:hAnsiTheme="majorBidi" w:cstheme="majorBidi"/>
                <w:sz w:val="24"/>
                <w:szCs w:val="24"/>
              </w:rPr>
              <w:t>iohexol</w:t>
            </w:r>
            <w:proofErr w:type="spellEnd"/>
            <w:r w:rsidRPr="00F01E55">
              <w:rPr>
                <w:rFonts w:asciiTheme="majorBidi" w:hAnsiTheme="majorBidi" w:cstheme="majorBidi"/>
                <w:sz w:val="24"/>
                <w:szCs w:val="24"/>
              </w:rPr>
              <w:t>;</w:t>
            </w:r>
            <w:proofErr w:type="gramEnd"/>
            <w:r w:rsidRPr="00F01E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3BA1944" w14:textId="77777777" w:rsidR="00F01E55" w:rsidRPr="00F01E55" w:rsidRDefault="00F01E55" w:rsidP="00F01E5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proofErr w:type="gramStart"/>
            <w:r w:rsidRPr="00F01E55">
              <w:rPr>
                <w:rFonts w:asciiTheme="majorBidi" w:hAnsiTheme="majorBidi" w:cstheme="majorBidi"/>
                <w:sz w:val="24"/>
                <w:szCs w:val="24"/>
              </w:rPr>
              <w:t>iomeprol</w:t>
            </w:r>
            <w:proofErr w:type="spellEnd"/>
            <w:r w:rsidRPr="00F01E55">
              <w:rPr>
                <w:rFonts w:asciiTheme="majorBidi" w:hAnsiTheme="majorBidi" w:cstheme="majorBidi"/>
                <w:sz w:val="24"/>
                <w:szCs w:val="24"/>
              </w:rPr>
              <w:t>;</w:t>
            </w:r>
            <w:proofErr w:type="gramEnd"/>
            <w:r w:rsidRPr="00F01E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5684621" w14:textId="77777777" w:rsidR="00F01E55" w:rsidRPr="00F01E55" w:rsidRDefault="00F01E55" w:rsidP="00F01E5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proofErr w:type="gramStart"/>
            <w:r w:rsidRPr="00F01E55">
              <w:rPr>
                <w:rFonts w:asciiTheme="majorBidi" w:hAnsiTheme="majorBidi" w:cstheme="majorBidi"/>
                <w:sz w:val="24"/>
                <w:szCs w:val="24"/>
              </w:rPr>
              <w:t>iopamidol</w:t>
            </w:r>
            <w:proofErr w:type="spellEnd"/>
            <w:r w:rsidRPr="00F01E55">
              <w:rPr>
                <w:rFonts w:asciiTheme="majorBidi" w:hAnsiTheme="majorBidi" w:cstheme="majorBidi"/>
                <w:sz w:val="24"/>
                <w:szCs w:val="24"/>
              </w:rPr>
              <w:t>;</w:t>
            </w:r>
            <w:proofErr w:type="gramEnd"/>
            <w:r w:rsidRPr="00F01E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C5746B7" w14:textId="77777777" w:rsidR="00F01E55" w:rsidRPr="00F01E55" w:rsidRDefault="00F01E55" w:rsidP="00F01E5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proofErr w:type="gramStart"/>
            <w:r w:rsidRPr="00F01E55">
              <w:rPr>
                <w:rFonts w:asciiTheme="majorBidi" w:hAnsiTheme="majorBidi" w:cstheme="majorBidi"/>
                <w:sz w:val="24"/>
                <w:szCs w:val="24"/>
              </w:rPr>
              <w:t>iopromide</w:t>
            </w:r>
            <w:proofErr w:type="spellEnd"/>
            <w:r w:rsidRPr="00F01E55">
              <w:rPr>
                <w:rFonts w:asciiTheme="majorBidi" w:hAnsiTheme="majorBidi" w:cstheme="majorBidi"/>
                <w:sz w:val="24"/>
                <w:szCs w:val="24"/>
              </w:rPr>
              <w:t>;</w:t>
            </w:r>
            <w:proofErr w:type="gramEnd"/>
            <w:r w:rsidRPr="00F01E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B40B571" w14:textId="77777777" w:rsidR="00F01E55" w:rsidRPr="00F01E55" w:rsidRDefault="00F01E55" w:rsidP="00F01E5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proofErr w:type="gramStart"/>
            <w:r w:rsidRPr="00F01E55">
              <w:rPr>
                <w:rFonts w:asciiTheme="majorBidi" w:hAnsiTheme="majorBidi" w:cstheme="majorBidi"/>
                <w:sz w:val="24"/>
                <w:szCs w:val="24"/>
              </w:rPr>
              <w:t>ioversol</w:t>
            </w:r>
            <w:proofErr w:type="spellEnd"/>
            <w:r w:rsidRPr="00F01E55">
              <w:rPr>
                <w:rFonts w:asciiTheme="majorBidi" w:hAnsiTheme="majorBidi" w:cstheme="majorBidi"/>
                <w:sz w:val="24"/>
                <w:szCs w:val="24"/>
              </w:rPr>
              <w:t>;</w:t>
            </w:r>
            <w:proofErr w:type="gramEnd"/>
            <w:r w:rsidRPr="00F01E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6D8CE10" w14:textId="0C7D9D86" w:rsidR="00A334A0" w:rsidRPr="009F0285" w:rsidRDefault="00F01E55" w:rsidP="00F01E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01E55">
              <w:rPr>
                <w:rFonts w:asciiTheme="majorBidi" w:hAnsiTheme="majorBidi" w:cstheme="majorBidi"/>
                <w:sz w:val="24"/>
                <w:szCs w:val="24"/>
              </w:rPr>
              <w:t>ioxitalamic</w:t>
            </w:r>
            <w:proofErr w:type="spellEnd"/>
            <w:r w:rsidRPr="00F01E55">
              <w:rPr>
                <w:rFonts w:asciiTheme="majorBidi" w:hAnsiTheme="majorBidi" w:cstheme="majorBidi"/>
                <w:sz w:val="24"/>
                <w:szCs w:val="24"/>
              </w:rPr>
              <w:t xml:space="preserve"> acid</w:t>
            </w:r>
          </w:p>
        </w:tc>
        <w:tc>
          <w:tcPr>
            <w:tcW w:w="1870" w:type="dxa"/>
          </w:tcPr>
          <w:p w14:paraId="1112554B" w14:textId="0AEFF6BF" w:rsidR="00E472CD" w:rsidRPr="00E472CD" w:rsidRDefault="00E472CD" w:rsidP="00E472CD">
            <w:proofErr w:type="spellStart"/>
            <w:r w:rsidRPr="00E472CD">
              <w:t>Shpërthim</w:t>
            </w:r>
            <w:proofErr w:type="spellEnd"/>
            <w:r w:rsidRPr="00E472CD">
              <w:t xml:space="preserve"> </w:t>
            </w:r>
            <w:proofErr w:type="spellStart"/>
            <w:r w:rsidRPr="00E472CD">
              <w:t>i</w:t>
            </w:r>
            <w:proofErr w:type="spellEnd"/>
            <w:r w:rsidRPr="00E472CD">
              <w:t xml:space="preserve"> </w:t>
            </w:r>
            <w:proofErr w:type="spellStart"/>
            <w:r w:rsidRPr="00E472CD">
              <w:t>fiksuar</w:t>
            </w:r>
            <w:proofErr w:type="spellEnd"/>
            <w:r w:rsidRPr="00E472CD">
              <w:t xml:space="preserve"> </w:t>
            </w:r>
            <w:proofErr w:type="spellStart"/>
            <w:r w:rsidRPr="00E472CD">
              <w:t>nga</w:t>
            </w:r>
            <w:proofErr w:type="spellEnd"/>
            <w:r w:rsidRPr="00E472CD">
              <w:t xml:space="preserve"> </w:t>
            </w:r>
            <w:proofErr w:type="spellStart"/>
            <w:r>
              <w:t>barna</w:t>
            </w:r>
            <w:r w:rsidRPr="00E472CD">
              <w:t>t</w:t>
            </w:r>
            <w:proofErr w:type="spellEnd"/>
          </w:p>
          <w:p w14:paraId="5C1CE39F" w14:textId="075EE415" w:rsidR="00E472CD" w:rsidRPr="00E472CD" w:rsidRDefault="00E472CD" w:rsidP="00E472CD">
            <w:r w:rsidRPr="00E472CD">
              <w:t>(20229)</w:t>
            </w:r>
          </w:p>
          <w:p w14:paraId="6D3EB00B" w14:textId="77777777" w:rsidR="00E472CD" w:rsidRPr="00E472CD" w:rsidRDefault="00E472CD" w:rsidP="00DC545F"/>
          <w:p w14:paraId="066603E6" w14:textId="52AD3850" w:rsidR="00A334A0" w:rsidRPr="009C643A" w:rsidRDefault="00A334A0" w:rsidP="00DC545F"/>
        </w:tc>
        <w:tc>
          <w:tcPr>
            <w:tcW w:w="1870" w:type="dxa"/>
          </w:tcPr>
          <w:p w14:paraId="4562E6B1" w14:textId="77777777" w:rsidR="005067B3" w:rsidRPr="005067B3" w:rsidRDefault="005067B3" w:rsidP="005067B3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r w:rsidRPr="005067B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Pernille</w:t>
            </w:r>
            <w:proofErr w:type="spellEnd"/>
            <w:r w:rsidRPr="005067B3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</w:p>
          <w:p w14:paraId="12B037FE" w14:textId="7E3900F1" w:rsidR="00A334A0" w:rsidRPr="00DC545F" w:rsidRDefault="005067B3" w:rsidP="005067B3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5067B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Harg (NO)</w:t>
            </w:r>
          </w:p>
        </w:tc>
        <w:tc>
          <w:tcPr>
            <w:tcW w:w="1870" w:type="dxa"/>
          </w:tcPr>
          <w:p w14:paraId="0D60CFE9" w14:textId="068407C2" w:rsidR="00A334A0" w:rsidRPr="0026503C" w:rsidRDefault="006D1D29" w:rsidP="00435D7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Informacion</w:t>
            </w:r>
            <w:proofErr w:type="spellEnd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plotësues</w:t>
            </w:r>
            <w:proofErr w:type="spellEnd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  <w:proofErr w:type="spellEnd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kërkuar</w:t>
            </w:r>
            <w:proofErr w:type="spellEnd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paraqitja</w:t>
            </w:r>
            <w:proofErr w:type="spellEnd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deri</w:t>
            </w:r>
            <w:proofErr w:type="spellEnd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më</w:t>
            </w:r>
            <w:proofErr w:type="spellEnd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8 </w:t>
            </w:r>
            <w:proofErr w:type="spellStart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prill</w:t>
            </w:r>
            <w:proofErr w:type="spellEnd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2026)</w:t>
            </w:r>
          </w:p>
        </w:tc>
        <w:tc>
          <w:tcPr>
            <w:tcW w:w="1870" w:type="dxa"/>
          </w:tcPr>
          <w:p w14:paraId="13601C4A" w14:textId="77777777" w:rsidR="00A334A0" w:rsidRPr="00A334A0" w:rsidRDefault="00A334A0" w:rsidP="00A334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334A0">
              <w:rPr>
                <w:rFonts w:asciiTheme="majorBidi" w:hAnsiTheme="majorBidi" w:cstheme="majorBidi"/>
                <w:sz w:val="24"/>
                <w:szCs w:val="24"/>
              </w:rPr>
              <w:t xml:space="preserve">Bracco Imaging, </w:t>
            </w:r>
          </w:p>
          <w:p w14:paraId="692A0617" w14:textId="77777777" w:rsidR="00A334A0" w:rsidRPr="00A334A0" w:rsidRDefault="00A334A0" w:rsidP="00A334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334A0">
              <w:rPr>
                <w:rFonts w:asciiTheme="majorBidi" w:hAnsiTheme="majorBidi" w:cstheme="majorBidi"/>
                <w:sz w:val="24"/>
                <w:szCs w:val="24"/>
              </w:rPr>
              <w:t xml:space="preserve">GE Healthcare, </w:t>
            </w:r>
          </w:p>
          <w:p w14:paraId="5614DFCE" w14:textId="0C389DF0" w:rsidR="00A334A0" w:rsidRPr="00A334A0" w:rsidRDefault="00A334A0" w:rsidP="00A334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334A0">
              <w:rPr>
                <w:rFonts w:asciiTheme="majorBidi" w:hAnsiTheme="majorBidi" w:cstheme="majorBidi"/>
                <w:sz w:val="24"/>
                <w:szCs w:val="24"/>
              </w:rPr>
              <w:t>Bayer, Guerbet</w:t>
            </w:r>
          </w:p>
        </w:tc>
      </w:tr>
      <w:tr w:rsidR="00B94A67" w:rsidRPr="009C643A" w14:paraId="33A120C9" w14:textId="77777777" w:rsidTr="00435D76">
        <w:tc>
          <w:tcPr>
            <w:tcW w:w="1870" w:type="dxa"/>
          </w:tcPr>
          <w:p w14:paraId="585EB8E5" w14:textId="6FD7CC5A" w:rsidR="00B94A67" w:rsidRPr="009F0285" w:rsidRDefault="00F01E55" w:rsidP="009F02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01E55">
              <w:rPr>
                <w:rFonts w:asciiTheme="majorBidi" w:hAnsiTheme="majorBidi" w:cstheme="majorBidi"/>
                <w:sz w:val="24"/>
                <w:szCs w:val="24"/>
              </w:rPr>
              <w:t>Zolbetuximab</w:t>
            </w:r>
            <w:proofErr w:type="spellEnd"/>
          </w:p>
        </w:tc>
        <w:tc>
          <w:tcPr>
            <w:tcW w:w="1870" w:type="dxa"/>
          </w:tcPr>
          <w:p w14:paraId="081E669B" w14:textId="77777777" w:rsidR="00E472CD" w:rsidRPr="00E472CD" w:rsidRDefault="00E472CD" w:rsidP="00E472CD">
            <w:pPr>
              <w:rPr>
                <w:lang w:val="fr-FR"/>
              </w:rPr>
            </w:pPr>
            <w:proofErr w:type="spellStart"/>
            <w:r w:rsidRPr="00E472CD">
              <w:rPr>
                <w:lang w:val="fr-FR"/>
              </w:rPr>
              <w:t>Gastroenteropatia</w:t>
            </w:r>
            <w:proofErr w:type="spellEnd"/>
            <w:r w:rsidRPr="00E472CD">
              <w:rPr>
                <w:lang w:val="fr-FR"/>
              </w:rPr>
              <w:t xml:space="preserve"> me </w:t>
            </w:r>
            <w:proofErr w:type="spellStart"/>
            <w:r w:rsidRPr="00E472CD">
              <w:rPr>
                <w:lang w:val="fr-FR"/>
              </w:rPr>
              <w:t>humbje</w:t>
            </w:r>
            <w:proofErr w:type="spellEnd"/>
            <w:r w:rsidRPr="00E472CD">
              <w:rPr>
                <w:lang w:val="fr-FR"/>
              </w:rPr>
              <w:t xml:space="preserve"> </w:t>
            </w:r>
            <w:proofErr w:type="spellStart"/>
            <w:r w:rsidRPr="00E472CD">
              <w:rPr>
                <w:lang w:val="fr-FR"/>
              </w:rPr>
              <w:t>të</w:t>
            </w:r>
            <w:proofErr w:type="spellEnd"/>
            <w:r w:rsidRPr="00E472CD">
              <w:rPr>
                <w:lang w:val="fr-FR"/>
              </w:rPr>
              <w:t xml:space="preserve"> </w:t>
            </w:r>
            <w:proofErr w:type="spellStart"/>
            <w:r w:rsidRPr="00E472CD">
              <w:rPr>
                <w:lang w:val="fr-FR"/>
              </w:rPr>
              <w:t>proteinave</w:t>
            </w:r>
            <w:proofErr w:type="spellEnd"/>
          </w:p>
          <w:p w14:paraId="44E80115" w14:textId="11530C46" w:rsidR="00E472CD" w:rsidRPr="00E472CD" w:rsidRDefault="00E472CD" w:rsidP="00E472CD">
            <w:pPr>
              <w:rPr>
                <w:lang w:val="fr-FR"/>
              </w:rPr>
            </w:pPr>
            <w:r w:rsidRPr="00E472CD">
              <w:rPr>
                <w:lang w:val="fr-FR"/>
              </w:rPr>
              <w:t>(20236)</w:t>
            </w:r>
          </w:p>
        </w:tc>
        <w:tc>
          <w:tcPr>
            <w:tcW w:w="1870" w:type="dxa"/>
          </w:tcPr>
          <w:p w14:paraId="48F027DE" w14:textId="77777777" w:rsidR="005067B3" w:rsidRPr="005067B3" w:rsidRDefault="005067B3" w:rsidP="005067B3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5067B3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Bianca </w:t>
            </w:r>
          </w:p>
          <w:p w14:paraId="40365660" w14:textId="77777777" w:rsidR="005067B3" w:rsidRPr="005067B3" w:rsidRDefault="005067B3" w:rsidP="005067B3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5067B3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Mulder </w:t>
            </w:r>
          </w:p>
          <w:p w14:paraId="137E5EF2" w14:textId="7F9C7BD6" w:rsidR="00B94A67" w:rsidRPr="00E472CD" w:rsidRDefault="005067B3" w:rsidP="005067B3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5067B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(NL)</w:t>
            </w:r>
          </w:p>
        </w:tc>
        <w:tc>
          <w:tcPr>
            <w:tcW w:w="1870" w:type="dxa"/>
          </w:tcPr>
          <w:p w14:paraId="720D14FF" w14:textId="1FC77E4E" w:rsidR="00B94A67" w:rsidRPr="0026503C" w:rsidRDefault="006D1D29" w:rsidP="00435D7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Informacion</w:t>
            </w:r>
            <w:proofErr w:type="spellEnd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plotësues</w:t>
            </w:r>
            <w:proofErr w:type="spellEnd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  <w:proofErr w:type="spellEnd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kërkuar</w:t>
            </w:r>
            <w:proofErr w:type="spellEnd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paraqitja</w:t>
            </w:r>
            <w:proofErr w:type="spellEnd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deri</w:t>
            </w:r>
            <w:proofErr w:type="spellEnd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më</w:t>
            </w:r>
            <w:proofErr w:type="spellEnd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8 </w:t>
            </w:r>
            <w:proofErr w:type="spellStart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prill</w:t>
            </w:r>
            <w:proofErr w:type="spellEnd"/>
            <w:r w:rsidRPr="006D1D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2026)</w:t>
            </w:r>
          </w:p>
        </w:tc>
        <w:tc>
          <w:tcPr>
            <w:tcW w:w="1870" w:type="dxa"/>
          </w:tcPr>
          <w:p w14:paraId="6976BE79" w14:textId="77777777" w:rsidR="00B94A67" w:rsidRPr="00B94A67" w:rsidRDefault="00B94A67" w:rsidP="00B94A6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B94A6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Astellas Pharma </w:t>
            </w:r>
          </w:p>
          <w:p w14:paraId="7AEB657B" w14:textId="0B7624A4" w:rsidR="00B94A67" w:rsidRPr="00B94A67" w:rsidRDefault="00B94A67" w:rsidP="00B94A6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B94A6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Europe B.V.</w:t>
            </w:r>
          </w:p>
        </w:tc>
      </w:tr>
      <w:tr w:rsidR="00B94A67" w:rsidRPr="00B94A67" w14:paraId="48F468E7" w14:textId="77777777" w:rsidTr="00435D76">
        <w:tc>
          <w:tcPr>
            <w:tcW w:w="1870" w:type="dxa"/>
          </w:tcPr>
          <w:p w14:paraId="2ADEF0ED" w14:textId="59FE8BBA" w:rsidR="00B94A67" w:rsidRPr="00B94A67" w:rsidRDefault="00F01E55" w:rsidP="009F028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r w:rsidRPr="00F01E5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Zuranolone</w:t>
            </w:r>
            <w:proofErr w:type="spellEnd"/>
          </w:p>
        </w:tc>
        <w:tc>
          <w:tcPr>
            <w:tcW w:w="1870" w:type="dxa"/>
          </w:tcPr>
          <w:p w14:paraId="45CD7330" w14:textId="6CE6509B" w:rsidR="00B94A67" w:rsidRPr="00B94A67" w:rsidRDefault="00E472CD" w:rsidP="00435D76">
            <w:pPr>
              <w:rPr>
                <w:lang w:val="fr-FR"/>
              </w:rPr>
            </w:pPr>
            <w:r w:rsidRPr="00E472CD">
              <w:rPr>
                <w:lang w:val="fr-FR"/>
              </w:rPr>
              <w:t xml:space="preserve">Ide </w:t>
            </w:r>
            <w:proofErr w:type="spellStart"/>
            <w:r w:rsidRPr="00E472CD">
              <w:rPr>
                <w:lang w:val="fr-FR"/>
              </w:rPr>
              <w:t>vetëvrasëse</w:t>
            </w:r>
            <w:proofErr w:type="spellEnd"/>
            <w:r w:rsidRPr="00E472CD">
              <w:rPr>
                <w:lang w:val="fr-FR"/>
              </w:rPr>
              <w:t xml:space="preserve"> (20232)</w:t>
            </w:r>
          </w:p>
        </w:tc>
        <w:tc>
          <w:tcPr>
            <w:tcW w:w="1870" w:type="dxa"/>
          </w:tcPr>
          <w:p w14:paraId="5407D3C8" w14:textId="77777777" w:rsidR="00F6153E" w:rsidRPr="00F6153E" w:rsidRDefault="00F6153E" w:rsidP="00F615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6153E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Guðrún </w:t>
            </w:r>
          </w:p>
          <w:p w14:paraId="4B547A65" w14:textId="77777777" w:rsidR="00F6153E" w:rsidRPr="00F6153E" w:rsidRDefault="00F6153E" w:rsidP="00F615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r w:rsidRPr="00F6153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Stefánsdótt</w:t>
            </w:r>
            <w:proofErr w:type="spellEnd"/>
          </w:p>
          <w:p w14:paraId="75C8D007" w14:textId="02E84D43" w:rsidR="00B94A67" w:rsidRPr="00B94A67" w:rsidRDefault="00F6153E" w:rsidP="00F615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F6153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ir</w:t>
            </w:r>
            <w:proofErr w:type="spellEnd"/>
            <w:proofErr w:type="gramEnd"/>
            <w:r w:rsidRPr="00F6153E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(IS)</w:t>
            </w:r>
          </w:p>
        </w:tc>
        <w:tc>
          <w:tcPr>
            <w:tcW w:w="1870" w:type="dxa"/>
          </w:tcPr>
          <w:p w14:paraId="33E18358" w14:textId="1C9D15BD" w:rsidR="00B94A67" w:rsidRPr="00B94A67" w:rsidRDefault="001F2998" w:rsidP="00435D7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1F299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Vlerësoni</w:t>
            </w:r>
            <w:proofErr w:type="spellEnd"/>
            <w:r w:rsidRPr="001F299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F299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në</w:t>
            </w:r>
            <w:proofErr w:type="spellEnd"/>
            <w:r w:rsidRPr="001F299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PSUR-</w:t>
            </w:r>
            <w:proofErr w:type="spellStart"/>
            <w:r w:rsidRPr="001F299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në</w:t>
            </w:r>
            <w:proofErr w:type="spellEnd"/>
            <w:r w:rsidRPr="001F299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1F299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ardhshme</w:t>
            </w:r>
            <w:proofErr w:type="spellEnd"/>
            <w:r w:rsidRPr="001F299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1F299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dorëzimi</w:t>
            </w:r>
            <w:proofErr w:type="spellEnd"/>
            <w:r w:rsidRPr="001F299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F299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deri</w:t>
            </w:r>
            <w:proofErr w:type="spellEnd"/>
            <w:r w:rsidRPr="001F299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F299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lastRenderedPageBreak/>
              <w:t>më</w:t>
            </w:r>
            <w:proofErr w:type="spellEnd"/>
            <w:r w:rsidRPr="001F299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14 prill 2026)</w:t>
            </w:r>
          </w:p>
        </w:tc>
        <w:tc>
          <w:tcPr>
            <w:tcW w:w="1870" w:type="dxa"/>
          </w:tcPr>
          <w:p w14:paraId="620B96F7" w14:textId="77777777" w:rsidR="00B94A67" w:rsidRPr="00B94A67" w:rsidRDefault="00B94A67" w:rsidP="00B94A6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r w:rsidRPr="00B94A67">
              <w:rPr>
                <w:rFonts w:asciiTheme="majorBidi" w:hAnsiTheme="majorBidi" w:cstheme="majorBidi"/>
                <w:sz w:val="24"/>
                <w:szCs w:val="24"/>
                <w:lang w:val="fr-FR"/>
              </w:rPr>
              <w:lastRenderedPageBreak/>
              <w:t>Biogen</w:t>
            </w:r>
            <w:proofErr w:type="spellEnd"/>
            <w:r w:rsidRPr="00B94A6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</w:p>
          <w:p w14:paraId="71AB6FF3" w14:textId="77777777" w:rsidR="00B94A67" w:rsidRPr="00B94A67" w:rsidRDefault="00B94A67" w:rsidP="00B94A6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r w:rsidRPr="00B94A6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Netherlands</w:t>
            </w:r>
            <w:proofErr w:type="spellEnd"/>
            <w:r w:rsidRPr="00B94A67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</w:p>
          <w:p w14:paraId="6D78A8E6" w14:textId="58F29E88" w:rsidR="00B94A67" w:rsidRPr="00B94A67" w:rsidRDefault="00B94A67" w:rsidP="00B94A6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B94A6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B.V.</w:t>
            </w:r>
          </w:p>
        </w:tc>
      </w:tr>
    </w:tbl>
    <w:p w14:paraId="37C82F17" w14:textId="77777777" w:rsidR="000B5332" w:rsidRPr="00B94A67" w:rsidRDefault="000B5332" w:rsidP="000B5332">
      <w:pPr>
        <w:rPr>
          <w:lang w:val="fr-FR"/>
        </w:rPr>
      </w:pPr>
    </w:p>
    <w:p w14:paraId="1AD7488A" w14:textId="6C80AE62" w:rsidR="000109B8" w:rsidRPr="009B09B8" w:rsidRDefault="009B09B8" w:rsidP="009B09B8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3.</w:t>
      </w:r>
      <w:r w:rsidR="004E107A" w:rsidRPr="009B09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Rekomandime </w:t>
      </w:r>
      <w:proofErr w:type="spellStart"/>
      <w:r w:rsidR="004E107A" w:rsidRPr="009B09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të</w:t>
      </w:r>
      <w:proofErr w:type="spellEnd"/>
      <w:r w:rsidR="004E107A" w:rsidRPr="009B09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="004E107A" w:rsidRPr="009B09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tjera</w:t>
      </w:r>
      <w:proofErr w:type="spellEnd"/>
    </w:p>
    <w:p w14:paraId="3C4D82E9" w14:textId="77777777" w:rsidR="00D83315" w:rsidRPr="00D83315" w:rsidRDefault="00D83315" w:rsidP="00D83315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26"/>
        <w:gridCol w:w="1978"/>
        <w:gridCol w:w="1878"/>
        <w:gridCol w:w="2448"/>
        <w:gridCol w:w="2024"/>
      </w:tblGrid>
      <w:tr w:rsidR="00266D42" w:rsidRPr="00687D66" w14:paraId="7F4CA4E5" w14:textId="77777777" w:rsidTr="00687D66">
        <w:tc>
          <w:tcPr>
            <w:tcW w:w="1526" w:type="dxa"/>
          </w:tcPr>
          <w:p w14:paraId="2BDF9721" w14:textId="42165BED" w:rsidR="004E107A" w:rsidRPr="00687D66" w:rsidRDefault="00086D90" w:rsidP="004E10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</w:pPr>
            <w:r w:rsidRPr="00687D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INN</w:t>
            </w:r>
            <w:r w:rsidRPr="00687D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ab/>
            </w:r>
            <w:r w:rsidRPr="00687D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ab/>
            </w:r>
            <w:r w:rsidRPr="00687D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ab/>
            </w:r>
            <w:r w:rsidRPr="00687D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ab/>
            </w:r>
          </w:p>
        </w:tc>
        <w:tc>
          <w:tcPr>
            <w:tcW w:w="1978" w:type="dxa"/>
          </w:tcPr>
          <w:p w14:paraId="3BB5A22F" w14:textId="3A5B46E3" w:rsidR="004E107A" w:rsidRPr="00687D66" w:rsidRDefault="00086D90" w:rsidP="004E10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</w:pPr>
            <w:r w:rsidRPr="00687D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SINJAL</w:t>
            </w:r>
          </w:p>
        </w:tc>
        <w:tc>
          <w:tcPr>
            <w:tcW w:w="1878" w:type="dxa"/>
          </w:tcPr>
          <w:p w14:paraId="421BACB5" w14:textId="10BA31EC" w:rsidR="004E107A" w:rsidRPr="00687D66" w:rsidRDefault="00086D90" w:rsidP="004E10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</w:pPr>
            <w:proofErr w:type="spellStart"/>
            <w:r w:rsidRPr="00687D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Raportuesi</w:t>
            </w:r>
            <w:proofErr w:type="spellEnd"/>
            <w:r w:rsidRPr="00687D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87D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nga</w:t>
            </w:r>
            <w:proofErr w:type="spellEnd"/>
            <w:r w:rsidRPr="00687D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 xml:space="preserve"> Prac</w:t>
            </w:r>
          </w:p>
        </w:tc>
        <w:tc>
          <w:tcPr>
            <w:tcW w:w="2448" w:type="dxa"/>
          </w:tcPr>
          <w:p w14:paraId="3ABD681B" w14:textId="270FED6B" w:rsidR="004E107A" w:rsidRPr="00687D66" w:rsidRDefault="00086D90" w:rsidP="004E10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</w:pPr>
            <w:r w:rsidRPr="00687D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VEPRIME NGA MAH</w:t>
            </w:r>
          </w:p>
        </w:tc>
        <w:tc>
          <w:tcPr>
            <w:tcW w:w="2024" w:type="dxa"/>
          </w:tcPr>
          <w:p w14:paraId="0F4FB12C" w14:textId="7F149A73" w:rsidR="004E107A" w:rsidRPr="00687D66" w:rsidRDefault="00086D90" w:rsidP="004E10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</w:pPr>
            <w:r w:rsidRPr="00687D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MAH</w:t>
            </w:r>
          </w:p>
        </w:tc>
      </w:tr>
      <w:tr w:rsidR="00266D42" w:rsidRPr="00687D66" w14:paraId="62F34547" w14:textId="77777777" w:rsidTr="00687D66">
        <w:tc>
          <w:tcPr>
            <w:tcW w:w="1526" w:type="dxa"/>
          </w:tcPr>
          <w:p w14:paraId="3A5EE312" w14:textId="07C6DE04" w:rsidR="004E107A" w:rsidRPr="00B1536D" w:rsidRDefault="00D83315" w:rsidP="004E10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</w:pPr>
            <w:proofErr w:type="spellStart"/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Erdafiti</w:t>
            </w:r>
            <w:r w:rsidR="00687D66"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ni</w:t>
            </w:r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b</w:t>
            </w:r>
            <w:proofErr w:type="spellEnd"/>
          </w:p>
        </w:tc>
        <w:tc>
          <w:tcPr>
            <w:tcW w:w="1978" w:type="dxa"/>
          </w:tcPr>
          <w:p w14:paraId="653A095F" w14:textId="671458C1" w:rsidR="004E107A" w:rsidRPr="00B1536D" w:rsidRDefault="00EC5708" w:rsidP="004E10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</w:pPr>
            <w:proofErr w:type="spellStart"/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Rritja</w:t>
            </w:r>
            <w:proofErr w:type="spellEnd"/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u </w:t>
            </w:r>
            <w:proofErr w:type="spellStart"/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përshpejtua</w:t>
            </w:r>
            <w:proofErr w:type="spellEnd"/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(20194)</w:t>
            </w:r>
          </w:p>
        </w:tc>
        <w:tc>
          <w:tcPr>
            <w:tcW w:w="1878" w:type="dxa"/>
          </w:tcPr>
          <w:p w14:paraId="04BADF9B" w14:textId="77777777" w:rsidR="00E8320A" w:rsidRPr="00B1536D" w:rsidRDefault="00E8320A" w:rsidP="00E8320A">
            <w:pPr>
              <w:pStyle w:val="ListParagrap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</w:pPr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Bianca </w:t>
            </w:r>
          </w:p>
          <w:p w14:paraId="1020FF19" w14:textId="77777777" w:rsidR="00E8320A" w:rsidRPr="00B1536D" w:rsidRDefault="00E8320A" w:rsidP="00E8320A">
            <w:pPr>
              <w:pStyle w:val="ListParagrap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</w:pPr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Mulder </w:t>
            </w:r>
          </w:p>
          <w:p w14:paraId="7E866790" w14:textId="5CE727FD" w:rsidR="004E107A" w:rsidRPr="00B1536D" w:rsidRDefault="00E8320A" w:rsidP="00E8320A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</w:pPr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(NL)</w:t>
            </w:r>
          </w:p>
        </w:tc>
        <w:tc>
          <w:tcPr>
            <w:tcW w:w="2448" w:type="dxa"/>
          </w:tcPr>
          <w:p w14:paraId="0194E2A5" w14:textId="10C499D5" w:rsidR="008B422F" w:rsidRPr="00B1536D" w:rsidRDefault="008B422F" w:rsidP="008B422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</w:pPr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*Shih </w:t>
            </w:r>
            <w:proofErr w:type="spellStart"/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seksionin</w:t>
            </w:r>
            <w:proofErr w:type="spellEnd"/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1.2</w:t>
            </w:r>
          </w:p>
          <w:p w14:paraId="47C79295" w14:textId="614E4071" w:rsidR="008B422F" w:rsidRPr="00B1536D" w:rsidRDefault="008B422F" w:rsidP="008B422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</w:pPr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*</w:t>
            </w:r>
            <w:proofErr w:type="spellStart"/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Vlerësoni</w:t>
            </w:r>
            <w:proofErr w:type="spellEnd"/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çrregullimet</w:t>
            </w:r>
            <w:proofErr w:type="spellEnd"/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muskuloskeletale</w:t>
            </w:r>
            <w:proofErr w:type="spellEnd"/>
          </w:p>
          <w:p w14:paraId="053FE84A" w14:textId="4E4F3246" w:rsidR="004E107A" w:rsidRPr="00B1536D" w:rsidRDefault="008B422F" w:rsidP="008B422F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</w:pPr>
            <w:proofErr w:type="gramStart"/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te</w:t>
            </w:r>
            <w:proofErr w:type="gramEnd"/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pacientët</w:t>
            </w:r>
            <w:proofErr w:type="spellEnd"/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rritur</w:t>
            </w:r>
            <w:proofErr w:type="spellEnd"/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në</w:t>
            </w:r>
            <w:proofErr w:type="spellEnd"/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PSUR-</w:t>
            </w:r>
            <w:proofErr w:type="spellStart"/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në</w:t>
            </w:r>
            <w:proofErr w:type="spellEnd"/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ardhshme</w:t>
            </w:r>
            <w:proofErr w:type="spellEnd"/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dorëzimi</w:t>
            </w:r>
            <w:proofErr w:type="spellEnd"/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deri</w:t>
            </w:r>
            <w:proofErr w:type="spellEnd"/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më</w:t>
            </w:r>
            <w:proofErr w:type="spellEnd"/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20 </w:t>
            </w:r>
            <w:proofErr w:type="spellStart"/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qershor</w:t>
            </w:r>
            <w:proofErr w:type="spellEnd"/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2026)</w:t>
            </w:r>
          </w:p>
        </w:tc>
        <w:tc>
          <w:tcPr>
            <w:tcW w:w="2024" w:type="dxa"/>
          </w:tcPr>
          <w:p w14:paraId="6F5F7738" w14:textId="77777777" w:rsidR="004C6AC6" w:rsidRPr="007C100F" w:rsidRDefault="004C6AC6" w:rsidP="007C100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</w:pPr>
            <w:r w:rsidRPr="007C10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Janssen-Cilag </w:t>
            </w:r>
          </w:p>
          <w:p w14:paraId="3C6D931C" w14:textId="77777777" w:rsidR="004C6AC6" w:rsidRPr="007C100F" w:rsidRDefault="004C6AC6" w:rsidP="007C100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</w:pPr>
            <w:r w:rsidRPr="007C10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International </w:t>
            </w:r>
          </w:p>
          <w:p w14:paraId="7FBF24CA" w14:textId="52B16513" w:rsidR="004E107A" w:rsidRPr="00B1536D" w:rsidRDefault="004C6AC6" w:rsidP="004C6AC6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</w:pPr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N.V.</w:t>
            </w:r>
          </w:p>
        </w:tc>
      </w:tr>
      <w:tr w:rsidR="00266D42" w:rsidRPr="009C643A" w14:paraId="56573E09" w14:textId="77777777" w:rsidTr="00687D66">
        <w:tc>
          <w:tcPr>
            <w:tcW w:w="1526" w:type="dxa"/>
          </w:tcPr>
          <w:p w14:paraId="29B5A437" w14:textId="3C7F338B" w:rsidR="004E107A" w:rsidRPr="00B1536D" w:rsidRDefault="00D83315" w:rsidP="004E10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</w:pPr>
            <w:proofErr w:type="spellStart"/>
            <w:r w:rsidRPr="007C10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val="fr-FR"/>
              </w:rPr>
              <w:t>Pemetrexed</w:t>
            </w:r>
            <w:proofErr w:type="spellEnd"/>
          </w:p>
        </w:tc>
        <w:tc>
          <w:tcPr>
            <w:tcW w:w="1978" w:type="dxa"/>
          </w:tcPr>
          <w:p w14:paraId="585DE7F3" w14:textId="77777777" w:rsidR="00EC5708" w:rsidRPr="007C100F" w:rsidRDefault="00EC5708" w:rsidP="007C100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</w:pPr>
            <w:r w:rsidRPr="007C10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Lupus </w:t>
            </w:r>
            <w:proofErr w:type="spellStart"/>
            <w:r w:rsidRPr="007C10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eritematoz</w:t>
            </w:r>
            <w:proofErr w:type="spellEnd"/>
          </w:p>
          <w:p w14:paraId="38698947" w14:textId="25982740" w:rsidR="004E107A" w:rsidRPr="00B1536D" w:rsidRDefault="00EC5708" w:rsidP="00EC570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</w:pPr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(20185)</w:t>
            </w:r>
          </w:p>
        </w:tc>
        <w:tc>
          <w:tcPr>
            <w:tcW w:w="1878" w:type="dxa"/>
          </w:tcPr>
          <w:p w14:paraId="154593FB" w14:textId="77777777" w:rsidR="00E8320A" w:rsidRPr="00B1536D" w:rsidRDefault="00E8320A" w:rsidP="00E8320A">
            <w:pPr>
              <w:pStyle w:val="ListParagrap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</w:pPr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Tiphaine </w:t>
            </w:r>
          </w:p>
          <w:p w14:paraId="294AAE5F" w14:textId="77777777" w:rsidR="00E8320A" w:rsidRPr="00B1536D" w:rsidRDefault="00E8320A" w:rsidP="00E8320A">
            <w:pPr>
              <w:pStyle w:val="ListParagrap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</w:pPr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Vaillant </w:t>
            </w:r>
          </w:p>
          <w:p w14:paraId="43C44495" w14:textId="3110301B" w:rsidR="004E107A" w:rsidRPr="00B1536D" w:rsidRDefault="00E8320A" w:rsidP="00E8320A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</w:pPr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(FR)</w:t>
            </w:r>
          </w:p>
        </w:tc>
        <w:tc>
          <w:tcPr>
            <w:tcW w:w="2448" w:type="dxa"/>
          </w:tcPr>
          <w:p w14:paraId="5B87CF29" w14:textId="0FCE1577" w:rsidR="004E107A" w:rsidRPr="00B1536D" w:rsidRDefault="004C6AC6" w:rsidP="004E10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</w:pPr>
            <w:proofErr w:type="spellStart"/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Monitorimi</w:t>
            </w:r>
            <w:proofErr w:type="spellEnd"/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në</w:t>
            </w:r>
            <w:proofErr w:type="spellEnd"/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PSUR</w:t>
            </w:r>
          </w:p>
        </w:tc>
        <w:tc>
          <w:tcPr>
            <w:tcW w:w="2024" w:type="dxa"/>
          </w:tcPr>
          <w:p w14:paraId="0DF80539" w14:textId="77777777" w:rsidR="00266D42" w:rsidRPr="00B1536D" w:rsidRDefault="00266D42" w:rsidP="00266D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</w:pPr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MAH-</w:t>
            </w:r>
            <w:proofErr w:type="spellStart"/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të</w:t>
            </w:r>
            <w:proofErr w:type="spellEnd"/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e</w:t>
            </w:r>
          </w:p>
          <w:p w14:paraId="7EED1254" w14:textId="77777777" w:rsidR="00266D42" w:rsidRPr="00B1536D" w:rsidRDefault="00266D42" w:rsidP="00266D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pemetreksedit</w:t>
            </w:r>
            <w:proofErr w:type="spellEnd"/>
            <w:proofErr w:type="gramEnd"/>
          </w:p>
          <w:p w14:paraId="0423393B" w14:textId="5EA49C25" w:rsidR="004E107A" w:rsidRPr="00B1536D" w:rsidRDefault="00105F90" w:rsidP="00105F9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kane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66D42"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detyrim</w:t>
            </w:r>
            <w:proofErr w:type="spellEnd"/>
            <w:r w:rsidR="00266D42"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66D42"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për</w:t>
            </w:r>
            <w:proofErr w:type="spellEnd"/>
            <w:r w:rsidR="00266D42"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66D42"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66D42"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paraqitur</w:t>
            </w:r>
            <w:proofErr w:type="spellEnd"/>
            <w:r w:rsidR="00266D42" w:rsidRPr="00B1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PSUR-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et</w:t>
            </w:r>
          </w:p>
        </w:tc>
      </w:tr>
    </w:tbl>
    <w:p w14:paraId="35A18ECD" w14:textId="77777777" w:rsidR="004E107A" w:rsidRPr="00687D66" w:rsidRDefault="004E107A" w:rsidP="004E107A">
      <w:pPr>
        <w:pStyle w:val="ListParagraph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</w:pPr>
    </w:p>
    <w:sectPr w:rsidR="004E107A" w:rsidRPr="00687D66" w:rsidSect="00C659CA">
      <w:footerReference w:type="default" r:id="rId8"/>
      <w:pgSz w:w="11906" w:h="16838" w:code="9"/>
      <w:pgMar w:top="1260" w:right="1080" w:bottom="144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86318" w14:textId="77777777" w:rsidR="00175DF0" w:rsidRDefault="00175DF0">
      <w:pPr>
        <w:spacing w:after="0" w:line="240" w:lineRule="auto"/>
      </w:pPr>
      <w:r>
        <w:separator/>
      </w:r>
    </w:p>
  </w:endnote>
  <w:endnote w:type="continuationSeparator" w:id="0">
    <w:p w14:paraId="1ACF82AF" w14:textId="77777777" w:rsidR="00175DF0" w:rsidRDefault="00175DF0">
      <w:pPr>
        <w:spacing w:after="0" w:line="240" w:lineRule="auto"/>
      </w:pPr>
      <w:r>
        <w:continuationSeparator/>
      </w:r>
    </w:p>
  </w:endnote>
  <w:endnote w:type="continuationNotice" w:id="1">
    <w:p w14:paraId="7F72B66E" w14:textId="77777777" w:rsidR="00175DF0" w:rsidRDefault="00175D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7EE9" w14:textId="77777777" w:rsidR="00B4495D" w:rsidRDefault="00175DF0" w:rsidP="00F5461D">
    <w:pPr>
      <w:rPr>
        <w:rFonts w:ascii="Garamond" w:hAnsi="Garamond" w:cs="Arial"/>
      </w:rPr>
    </w:pPr>
    <w:r>
      <w:rPr>
        <w:rFonts w:ascii="Garamond" w:hAnsi="Garamond" w:cs="Arial"/>
        <w:noProof/>
      </w:rPr>
      <w:pict w14:anchorId="16427EE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5" type="#_x0000_t32" style="position:absolute;margin-left:9.75pt;margin-top:21.95pt;width:450.75pt;height:0;z-index:251658240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uzdHQIAADw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"/>
      </w:pict>
    </w:r>
  </w:p>
  <w:p w14:paraId="16427EEA" w14:textId="77777777" w:rsidR="00B4495D" w:rsidRPr="00EE2498" w:rsidRDefault="00A20866" w:rsidP="00F5461D">
    <w:pPr>
      <w:pStyle w:val="Footer"/>
      <w:jc w:val="center"/>
      <w:rPr>
        <w:rFonts w:ascii="Times New Roman" w:hAnsi="Times New Roman"/>
        <w:sz w:val="16"/>
        <w:szCs w:val="16"/>
      </w:rPr>
    </w:pPr>
    <w:r w:rsidRPr="00BB2AF9">
      <w:rPr>
        <w:rFonts w:ascii="Times New Roman" w:hAnsi="Times New Roman"/>
        <w:iCs/>
        <w:sz w:val="16"/>
        <w:szCs w:val="16"/>
        <w:lang w:val="it-IT"/>
      </w:rPr>
      <w:t xml:space="preserve">Adresa:Rruga e Dibrës, Nr.359/1, Tirane. </w:t>
    </w:r>
    <w:r w:rsidRPr="00EE2498">
      <w:rPr>
        <w:rFonts w:ascii="Times New Roman" w:hAnsi="Times New Roman"/>
        <w:iCs/>
        <w:sz w:val="16"/>
        <w:szCs w:val="16"/>
      </w:rPr>
      <w:t xml:space="preserve">Tel /Fax: ++355 42 372892, </w:t>
    </w:r>
    <w:hyperlink r:id="rId1" w:history="1">
      <w:r w:rsidRPr="00187C2A">
        <w:rPr>
          <w:rStyle w:val="Hyperlink"/>
          <w:rFonts w:ascii="Times New Roman" w:hAnsi="Times New Roman"/>
          <w:iCs/>
          <w:sz w:val="16"/>
          <w:szCs w:val="16"/>
        </w:rPr>
        <w:t>www.akbpm.gov.al</w:t>
      </w:r>
    </w:hyperlink>
  </w:p>
  <w:p w14:paraId="16427EEB" w14:textId="77777777" w:rsidR="00B4495D" w:rsidRDefault="00B4495D">
    <w:pPr>
      <w:pStyle w:val="Footer"/>
    </w:pPr>
  </w:p>
  <w:p w14:paraId="16427EEC" w14:textId="77777777" w:rsidR="00B4495D" w:rsidRDefault="00B449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41C4D" w14:textId="77777777" w:rsidR="00175DF0" w:rsidRDefault="00175DF0">
      <w:pPr>
        <w:spacing w:after="0" w:line="240" w:lineRule="auto"/>
      </w:pPr>
      <w:r>
        <w:separator/>
      </w:r>
    </w:p>
  </w:footnote>
  <w:footnote w:type="continuationSeparator" w:id="0">
    <w:p w14:paraId="5CF0280C" w14:textId="77777777" w:rsidR="00175DF0" w:rsidRDefault="00175DF0">
      <w:pPr>
        <w:spacing w:after="0" w:line="240" w:lineRule="auto"/>
      </w:pPr>
      <w:r>
        <w:continuationSeparator/>
      </w:r>
    </w:p>
  </w:footnote>
  <w:footnote w:type="continuationNotice" w:id="1">
    <w:p w14:paraId="39B7D0FC" w14:textId="77777777" w:rsidR="00175DF0" w:rsidRDefault="00175DF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B06"/>
    <w:multiLevelType w:val="hybridMultilevel"/>
    <w:tmpl w:val="F6EA33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F2D86"/>
    <w:multiLevelType w:val="hybridMultilevel"/>
    <w:tmpl w:val="53B24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50408"/>
    <w:multiLevelType w:val="hybridMultilevel"/>
    <w:tmpl w:val="71D6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C2AD1"/>
    <w:multiLevelType w:val="hybridMultilevel"/>
    <w:tmpl w:val="BAEA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00373"/>
    <w:multiLevelType w:val="hybridMultilevel"/>
    <w:tmpl w:val="1ABC1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73292"/>
    <w:multiLevelType w:val="hybridMultilevel"/>
    <w:tmpl w:val="836EB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73C0E"/>
    <w:multiLevelType w:val="hybridMultilevel"/>
    <w:tmpl w:val="66C64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D5ABB"/>
    <w:multiLevelType w:val="hybridMultilevel"/>
    <w:tmpl w:val="0CD83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16E80"/>
    <w:multiLevelType w:val="hybridMultilevel"/>
    <w:tmpl w:val="D2E63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F3D95"/>
    <w:multiLevelType w:val="multilevel"/>
    <w:tmpl w:val="B48AC4F4"/>
    <w:lvl w:ilvl="0">
      <w:start w:val="1"/>
      <w:numFmt w:val="decimal"/>
      <w:lvlText w:val="%1."/>
      <w:lvlJc w:val="left"/>
      <w:pPr>
        <w:ind w:left="720" w:hanging="6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10" w15:restartNumberingAfterBreak="0">
    <w:nsid w:val="23B639C4"/>
    <w:multiLevelType w:val="hybridMultilevel"/>
    <w:tmpl w:val="C7C8B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75263"/>
    <w:multiLevelType w:val="hybridMultilevel"/>
    <w:tmpl w:val="A0349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8090B"/>
    <w:multiLevelType w:val="hybridMultilevel"/>
    <w:tmpl w:val="151C4272"/>
    <w:lvl w:ilvl="0" w:tplc="4DB8F20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B1CB1"/>
    <w:multiLevelType w:val="multilevel"/>
    <w:tmpl w:val="7B5AC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E4E1EA9"/>
    <w:multiLevelType w:val="hybridMultilevel"/>
    <w:tmpl w:val="A58A4502"/>
    <w:lvl w:ilvl="0" w:tplc="CA409AB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F10E2"/>
    <w:multiLevelType w:val="hybridMultilevel"/>
    <w:tmpl w:val="DF069E9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38CD44DD"/>
    <w:multiLevelType w:val="hybridMultilevel"/>
    <w:tmpl w:val="32FEBA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2603B3"/>
    <w:multiLevelType w:val="multilevel"/>
    <w:tmpl w:val="585298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2615B9"/>
    <w:multiLevelType w:val="hybridMultilevel"/>
    <w:tmpl w:val="11601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E695B"/>
    <w:multiLevelType w:val="hybridMultilevel"/>
    <w:tmpl w:val="B8762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06CD9"/>
    <w:multiLevelType w:val="hybridMultilevel"/>
    <w:tmpl w:val="EEAA7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A4A15"/>
    <w:multiLevelType w:val="hybridMultilevel"/>
    <w:tmpl w:val="899CCB24"/>
    <w:lvl w:ilvl="0" w:tplc="D6866086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B6874"/>
    <w:multiLevelType w:val="hybridMultilevel"/>
    <w:tmpl w:val="D3A60C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DD6CE3"/>
    <w:multiLevelType w:val="hybridMultilevel"/>
    <w:tmpl w:val="72B03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1519F"/>
    <w:multiLevelType w:val="hybridMultilevel"/>
    <w:tmpl w:val="EB8A8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2B150F"/>
    <w:multiLevelType w:val="hybridMultilevel"/>
    <w:tmpl w:val="22100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D48C6"/>
    <w:multiLevelType w:val="hybridMultilevel"/>
    <w:tmpl w:val="37D43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A175E"/>
    <w:multiLevelType w:val="hybridMultilevel"/>
    <w:tmpl w:val="39284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08544E"/>
    <w:multiLevelType w:val="hybridMultilevel"/>
    <w:tmpl w:val="F4F86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457FC"/>
    <w:multiLevelType w:val="hybridMultilevel"/>
    <w:tmpl w:val="4262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6D572D"/>
    <w:multiLevelType w:val="hybridMultilevel"/>
    <w:tmpl w:val="65C0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894434">
    <w:abstractNumId w:val="12"/>
  </w:num>
  <w:num w:numId="2" w16cid:durableId="1385061989">
    <w:abstractNumId w:val="4"/>
  </w:num>
  <w:num w:numId="3" w16cid:durableId="1370031923">
    <w:abstractNumId w:val="21"/>
  </w:num>
  <w:num w:numId="4" w16cid:durableId="1176265101">
    <w:abstractNumId w:val="7"/>
  </w:num>
  <w:num w:numId="5" w16cid:durableId="1267929902">
    <w:abstractNumId w:val="29"/>
  </w:num>
  <w:num w:numId="6" w16cid:durableId="1007946076">
    <w:abstractNumId w:val="18"/>
  </w:num>
  <w:num w:numId="7" w16cid:durableId="1542593325">
    <w:abstractNumId w:val="15"/>
  </w:num>
  <w:num w:numId="8" w16cid:durableId="1148133930">
    <w:abstractNumId w:val="14"/>
  </w:num>
  <w:num w:numId="9" w16cid:durableId="709260669">
    <w:abstractNumId w:val="2"/>
  </w:num>
  <w:num w:numId="10" w16cid:durableId="1944074456">
    <w:abstractNumId w:val="13"/>
  </w:num>
  <w:num w:numId="11" w16cid:durableId="1039089755">
    <w:abstractNumId w:val="8"/>
  </w:num>
  <w:num w:numId="12" w16cid:durableId="889271472">
    <w:abstractNumId w:val="5"/>
  </w:num>
  <w:num w:numId="13" w16cid:durableId="602418198">
    <w:abstractNumId w:val="20"/>
  </w:num>
  <w:num w:numId="14" w16cid:durableId="1080180865">
    <w:abstractNumId w:val="22"/>
  </w:num>
  <w:num w:numId="15" w16cid:durableId="638193757">
    <w:abstractNumId w:val="1"/>
  </w:num>
  <w:num w:numId="16" w16cid:durableId="1776973493">
    <w:abstractNumId w:val="23"/>
  </w:num>
  <w:num w:numId="17" w16cid:durableId="630015915">
    <w:abstractNumId w:val="11"/>
  </w:num>
  <w:num w:numId="18" w16cid:durableId="438768264">
    <w:abstractNumId w:val="10"/>
  </w:num>
  <w:num w:numId="19" w16cid:durableId="1738046778">
    <w:abstractNumId w:val="24"/>
  </w:num>
  <w:num w:numId="20" w16cid:durableId="560794379">
    <w:abstractNumId w:val="25"/>
  </w:num>
  <w:num w:numId="21" w16cid:durableId="1130976345">
    <w:abstractNumId w:val="6"/>
  </w:num>
  <w:num w:numId="22" w16cid:durableId="392967617">
    <w:abstractNumId w:val="19"/>
  </w:num>
  <w:num w:numId="23" w16cid:durableId="1902014100">
    <w:abstractNumId w:val="9"/>
  </w:num>
  <w:num w:numId="24" w16cid:durableId="1127044130">
    <w:abstractNumId w:val="27"/>
  </w:num>
  <w:num w:numId="25" w16cid:durableId="992610368">
    <w:abstractNumId w:val="16"/>
  </w:num>
  <w:num w:numId="26" w16cid:durableId="1933657645">
    <w:abstractNumId w:val="0"/>
  </w:num>
  <w:num w:numId="27" w16cid:durableId="1065950916">
    <w:abstractNumId w:val="28"/>
  </w:num>
  <w:num w:numId="28" w16cid:durableId="1283341659">
    <w:abstractNumId w:val="30"/>
  </w:num>
  <w:num w:numId="29" w16cid:durableId="513108812">
    <w:abstractNumId w:val="3"/>
  </w:num>
  <w:num w:numId="30" w16cid:durableId="1603875905">
    <w:abstractNumId w:val="26"/>
  </w:num>
  <w:num w:numId="31" w16cid:durableId="7119229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2"/>
      </o:rules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1DC"/>
    <w:rsid w:val="00003501"/>
    <w:rsid w:val="00003A99"/>
    <w:rsid w:val="0000411D"/>
    <w:rsid w:val="0000693D"/>
    <w:rsid w:val="000100A1"/>
    <w:rsid w:val="000109B8"/>
    <w:rsid w:val="00025A27"/>
    <w:rsid w:val="000276AB"/>
    <w:rsid w:val="00032337"/>
    <w:rsid w:val="000414F1"/>
    <w:rsid w:val="00045941"/>
    <w:rsid w:val="0005625D"/>
    <w:rsid w:val="000611F3"/>
    <w:rsid w:val="00062153"/>
    <w:rsid w:val="00066509"/>
    <w:rsid w:val="000731E1"/>
    <w:rsid w:val="0007389F"/>
    <w:rsid w:val="00075333"/>
    <w:rsid w:val="0008422C"/>
    <w:rsid w:val="00086D90"/>
    <w:rsid w:val="00087BBD"/>
    <w:rsid w:val="00090C19"/>
    <w:rsid w:val="000969C8"/>
    <w:rsid w:val="000A6B6D"/>
    <w:rsid w:val="000B0C3D"/>
    <w:rsid w:val="000B13DC"/>
    <w:rsid w:val="000B3EA5"/>
    <w:rsid w:val="000B5332"/>
    <w:rsid w:val="000B7465"/>
    <w:rsid w:val="000B7CEC"/>
    <w:rsid w:val="000C0853"/>
    <w:rsid w:val="000C41EC"/>
    <w:rsid w:val="000C5714"/>
    <w:rsid w:val="000C627E"/>
    <w:rsid w:val="000D36DA"/>
    <w:rsid w:val="000D3CF6"/>
    <w:rsid w:val="000D4897"/>
    <w:rsid w:val="000D572A"/>
    <w:rsid w:val="000D7835"/>
    <w:rsid w:val="000E037E"/>
    <w:rsid w:val="000E0628"/>
    <w:rsid w:val="000E08ED"/>
    <w:rsid w:val="000E1CB0"/>
    <w:rsid w:val="000E22B1"/>
    <w:rsid w:val="000E36FA"/>
    <w:rsid w:val="000E4F6E"/>
    <w:rsid w:val="000E591F"/>
    <w:rsid w:val="000E6526"/>
    <w:rsid w:val="000F071B"/>
    <w:rsid w:val="000F1149"/>
    <w:rsid w:val="000F2445"/>
    <w:rsid w:val="000F3307"/>
    <w:rsid w:val="000F7CC5"/>
    <w:rsid w:val="00105F90"/>
    <w:rsid w:val="00110128"/>
    <w:rsid w:val="00110E73"/>
    <w:rsid w:val="00111A18"/>
    <w:rsid w:val="0011776A"/>
    <w:rsid w:val="00122536"/>
    <w:rsid w:val="00124975"/>
    <w:rsid w:val="00125E1B"/>
    <w:rsid w:val="00126B03"/>
    <w:rsid w:val="00131DEC"/>
    <w:rsid w:val="001343B7"/>
    <w:rsid w:val="00136F46"/>
    <w:rsid w:val="00137336"/>
    <w:rsid w:val="00140308"/>
    <w:rsid w:val="001436C4"/>
    <w:rsid w:val="00144C79"/>
    <w:rsid w:val="001465B8"/>
    <w:rsid w:val="00154961"/>
    <w:rsid w:val="00155CD1"/>
    <w:rsid w:val="00161C3C"/>
    <w:rsid w:val="00162AE0"/>
    <w:rsid w:val="001668DA"/>
    <w:rsid w:val="00167754"/>
    <w:rsid w:val="001733DE"/>
    <w:rsid w:val="00175DF0"/>
    <w:rsid w:val="001823B9"/>
    <w:rsid w:val="0018377D"/>
    <w:rsid w:val="001865DD"/>
    <w:rsid w:val="00190582"/>
    <w:rsid w:val="001958CF"/>
    <w:rsid w:val="001A0954"/>
    <w:rsid w:val="001A213D"/>
    <w:rsid w:val="001A7AA4"/>
    <w:rsid w:val="001B24D9"/>
    <w:rsid w:val="001B6615"/>
    <w:rsid w:val="001C2C4A"/>
    <w:rsid w:val="001C74F5"/>
    <w:rsid w:val="001D25CC"/>
    <w:rsid w:val="001D2FE8"/>
    <w:rsid w:val="001D38F2"/>
    <w:rsid w:val="001D65A8"/>
    <w:rsid w:val="001E10EA"/>
    <w:rsid w:val="001E6FE6"/>
    <w:rsid w:val="001E74BC"/>
    <w:rsid w:val="001F19BD"/>
    <w:rsid w:val="001F2998"/>
    <w:rsid w:val="001F3C04"/>
    <w:rsid w:val="001F4134"/>
    <w:rsid w:val="001F6C02"/>
    <w:rsid w:val="00203840"/>
    <w:rsid w:val="002050F5"/>
    <w:rsid w:val="002111C1"/>
    <w:rsid w:val="00211B1C"/>
    <w:rsid w:val="00213812"/>
    <w:rsid w:val="002165B7"/>
    <w:rsid w:val="002166B3"/>
    <w:rsid w:val="0022054C"/>
    <w:rsid w:val="00220891"/>
    <w:rsid w:val="00220FD1"/>
    <w:rsid w:val="002248B4"/>
    <w:rsid w:val="00225A6F"/>
    <w:rsid w:val="00234E65"/>
    <w:rsid w:val="00235A2A"/>
    <w:rsid w:val="00236CC5"/>
    <w:rsid w:val="00236D52"/>
    <w:rsid w:val="0023796F"/>
    <w:rsid w:val="00240643"/>
    <w:rsid w:val="0024326E"/>
    <w:rsid w:val="00246DD6"/>
    <w:rsid w:val="00254B09"/>
    <w:rsid w:val="00255737"/>
    <w:rsid w:val="0026455D"/>
    <w:rsid w:val="0026503C"/>
    <w:rsid w:val="00266D42"/>
    <w:rsid w:val="002754D3"/>
    <w:rsid w:val="00280F1E"/>
    <w:rsid w:val="00282F5C"/>
    <w:rsid w:val="00284DAB"/>
    <w:rsid w:val="002855D6"/>
    <w:rsid w:val="002877C5"/>
    <w:rsid w:val="00287EED"/>
    <w:rsid w:val="00291FAB"/>
    <w:rsid w:val="00292E1B"/>
    <w:rsid w:val="00294467"/>
    <w:rsid w:val="002A06CB"/>
    <w:rsid w:val="002A0A3F"/>
    <w:rsid w:val="002A1336"/>
    <w:rsid w:val="002A2506"/>
    <w:rsid w:val="002A4CC1"/>
    <w:rsid w:val="002A4F7F"/>
    <w:rsid w:val="002A78EA"/>
    <w:rsid w:val="002A7F65"/>
    <w:rsid w:val="002B33F9"/>
    <w:rsid w:val="002B5CF6"/>
    <w:rsid w:val="002B6252"/>
    <w:rsid w:val="002C6C4E"/>
    <w:rsid w:val="002D03FF"/>
    <w:rsid w:val="002D3B7E"/>
    <w:rsid w:val="002D4964"/>
    <w:rsid w:val="002E4E72"/>
    <w:rsid w:val="002E5465"/>
    <w:rsid w:val="002E5C26"/>
    <w:rsid w:val="002E7E00"/>
    <w:rsid w:val="002F0061"/>
    <w:rsid w:val="002F098A"/>
    <w:rsid w:val="002F33B6"/>
    <w:rsid w:val="00301304"/>
    <w:rsid w:val="00304788"/>
    <w:rsid w:val="00311DED"/>
    <w:rsid w:val="00311EC6"/>
    <w:rsid w:val="00312765"/>
    <w:rsid w:val="00315B33"/>
    <w:rsid w:val="00322962"/>
    <w:rsid w:val="00324E4D"/>
    <w:rsid w:val="00342B0B"/>
    <w:rsid w:val="00344139"/>
    <w:rsid w:val="00345BDE"/>
    <w:rsid w:val="00350216"/>
    <w:rsid w:val="00350979"/>
    <w:rsid w:val="00352CF1"/>
    <w:rsid w:val="00353EDC"/>
    <w:rsid w:val="003557BC"/>
    <w:rsid w:val="00363068"/>
    <w:rsid w:val="00365B96"/>
    <w:rsid w:val="003673EF"/>
    <w:rsid w:val="00380B45"/>
    <w:rsid w:val="0038511C"/>
    <w:rsid w:val="00390913"/>
    <w:rsid w:val="00391614"/>
    <w:rsid w:val="00392BC5"/>
    <w:rsid w:val="0039304A"/>
    <w:rsid w:val="0039509A"/>
    <w:rsid w:val="00396C4E"/>
    <w:rsid w:val="00397E47"/>
    <w:rsid w:val="003A62DC"/>
    <w:rsid w:val="003A6710"/>
    <w:rsid w:val="003B6498"/>
    <w:rsid w:val="003B64E7"/>
    <w:rsid w:val="003B6630"/>
    <w:rsid w:val="003B799B"/>
    <w:rsid w:val="003C0C5A"/>
    <w:rsid w:val="003C1903"/>
    <w:rsid w:val="003C2B56"/>
    <w:rsid w:val="003C316A"/>
    <w:rsid w:val="003C4BFA"/>
    <w:rsid w:val="003D6A05"/>
    <w:rsid w:val="003E368A"/>
    <w:rsid w:val="003E65C6"/>
    <w:rsid w:val="003F0B46"/>
    <w:rsid w:val="003F4643"/>
    <w:rsid w:val="003F50F5"/>
    <w:rsid w:val="003F6F74"/>
    <w:rsid w:val="004003FB"/>
    <w:rsid w:val="004039E3"/>
    <w:rsid w:val="004101CE"/>
    <w:rsid w:val="00414596"/>
    <w:rsid w:val="00414A4D"/>
    <w:rsid w:val="00414AA6"/>
    <w:rsid w:val="00414E3E"/>
    <w:rsid w:val="00417C1A"/>
    <w:rsid w:val="00417DEA"/>
    <w:rsid w:val="00425CA4"/>
    <w:rsid w:val="00431959"/>
    <w:rsid w:val="00432081"/>
    <w:rsid w:val="00432731"/>
    <w:rsid w:val="00433920"/>
    <w:rsid w:val="00433EBA"/>
    <w:rsid w:val="00434F78"/>
    <w:rsid w:val="00441820"/>
    <w:rsid w:val="00445544"/>
    <w:rsid w:val="004515ED"/>
    <w:rsid w:val="00453B7C"/>
    <w:rsid w:val="00456516"/>
    <w:rsid w:val="00456DD0"/>
    <w:rsid w:val="004636EA"/>
    <w:rsid w:val="0046452E"/>
    <w:rsid w:val="00465E23"/>
    <w:rsid w:val="0047306F"/>
    <w:rsid w:val="00473AED"/>
    <w:rsid w:val="00474E3E"/>
    <w:rsid w:val="00476C1D"/>
    <w:rsid w:val="0048124A"/>
    <w:rsid w:val="004824D1"/>
    <w:rsid w:val="00490850"/>
    <w:rsid w:val="00497308"/>
    <w:rsid w:val="004974A7"/>
    <w:rsid w:val="004A103C"/>
    <w:rsid w:val="004A3096"/>
    <w:rsid w:val="004A3B82"/>
    <w:rsid w:val="004A6D4D"/>
    <w:rsid w:val="004A6F69"/>
    <w:rsid w:val="004B2654"/>
    <w:rsid w:val="004B37E2"/>
    <w:rsid w:val="004B6321"/>
    <w:rsid w:val="004C2404"/>
    <w:rsid w:val="004C28A9"/>
    <w:rsid w:val="004C6AC6"/>
    <w:rsid w:val="004C6EB8"/>
    <w:rsid w:val="004D086A"/>
    <w:rsid w:val="004D475D"/>
    <w:rsid w:val="004D6B59"/>
    <w:rsid w:val="004D76D8"/>
    <w:rsid w:val="004E107A"/>
    <w:rsid w:val="004E15DD"/>
    <w:rsid w:val="004E2E5A"/>
    <w:rsid w:val="004F3F7F"/>
    <w:rsid w:val="004F6E91"/>
    <w:rsid w:val="005033D6"/>
    <w:rsid w:val="005060E2"/>
    <w:rsid w:val="005067B3"/>
    <w:rsid w:val="005130A9"/>
    <w:rsid w:val="00513A7A"/>
    <w:rsid w:val="00514898"/>
    <w:rsid w:val="00515694"/>
    <w:rsid w:val="00515E4A"/>
    <w:rsid w:val="005171D1"/>
    <w:rsid w:val="005219D9"/>
    <w:rsid w:val="005246A6"/>
    <w:rsid w:val="00526A37"/>
    <w:rsid w:val="00531442"/>
    <w:rsid w:val="00542878"/>
    <w:rsid w:val="00542B62"/>
    <w:rsid w:val="005438EF"/>
    <w:rsid w:val="00552312"/>
    <w:rsid w:val="005525B8"/>
    <w:rsid w:val="00554AD7"/>
    <w:rsid w:val="00560DA3"/>
    <w:rsid w:val="0056180F"/>
    <w:rsid w:val="00562002"/>
    <w:rsid w:val="005641FD"/>
    <w:rsid w:val="00565674"/>
    <w:rsid w:val="005756A1"/>
    <w:rsid w:val="0057794B"/>
    <w:rsid w:val="005836C3"/>
    <w:rsid w:val="00592837"/>
    <w:rsid w:val="00592B85"/>
    <w:rsid w:val="005A0BD3"/>
    <w:rsid w:val="005A664B"/>
    <w:rsid w:val="005B2BA2"/>
    <w:rsid w:val="005B3582"/>
    <w:rsid w:val="005B36AE"/>
    <w:rsid w:val="005B52EF"/>
    <w:rsid w:val="005B6198"/>
    <w:rsid w:val="005C0680"/>
    <w:rsid w:val="005C06E8"/>
    <w:rsid w:val="005D56DD"/>
    <w:rsid w:val="005D57FB"/>
    <w:rsid w:val="005D5F12"/>
    <w:rsid w:val="005E05A2"/>
    <w:rsid w:val="005E10E4"/>
    <w:rsid w:val="005F5849"/>
    <w:rsid w:val="005F6052"/>
    <w:rsid w:val="005F7660"/>
    <w:rsid w:val="006061CC"/>
    <w:rsid w:val="006069FA"/>
    <w:rsid w:val="00606AF6"/>
    <w:rsid w:val="0060778E"/>
    <w:rsid w:val="00610A9B"/>
    <w:rsid w:val="0061525B"/>
    <w:rsid w:val="00626BCA"/>
    <w:rsid w:val="00631D2B"/>
    <w:rsid w:val="006326C9"/>
    <w:rsid w:val="00634525"/>
    <w:rsid w:val="006410FF"/>
    <w:rsid w:val="00645162"/>
    <w:rsid w:val="006466D2"/>
    <w:rsid w:val="0064783E"/>
    <w:rsid w:val="006501AB"/>
    <w:rsid w:val="00656467"/>
    <w:rsid w:val="00656C7C"/>
    <w:rsid w:val="0066026A"/>
    <w:rsid w:val="0066394D"/>
    <w:rsid w:val="0066400C"/>
    <w:rsid w:val="00664873"/>
    <w:rsid w:val="00664DDD"/>
    <w:rsid w:val="00667A3C"/>
    <w:rsid w:val="00670327"/>
    <w:rsid w:val="0067076A"/>
    <w:rsid w:val="00673680"/>
    <w:rsid w:val="0067463B"/>
    <w:rsid w:val="00684069"/>
    <w:rsid w:val="00687D66"/>
    <w:rsid w:val="00691D71"/>
    <w:rsid w:val="006953C3"/>
    <w:rsid w:val="00697A9D"/>
    <w:rsid w:val="006A0875"/>
    <w:rsid w:val="006A76F9"/>
    <w:rsid w:val="006B03B8"/>
    <w:rsid w:val="006C031F"/>
    <w:rsid w:val="006C109A"/>
    <w:rsid w:val="006C1D4F"/>
    <w:rsid w:val="006C3287"/>
    <w:rsid w:val="006C58D7"/>
    <w:rsid w:val="006D1D29"/>
    <w:rsid w:val="006D2B27"/>
    <w:rsid w:val="006D376A"/>
    <w:rsid w:val="006D618B"/>
    <w:rsid w:val="006E59C1"/>
    <w:rsid w:val="006F0ABF"/>
    <w:rsid w:val="0070230C"/>
    <w:rsid w:val="00703553"/>
    <w:rsid w:val="00704B06"/>
    <w:rsid w:val="007060FE"/>
    <w:rsid w:val="00706BCE"/>
    <w:rsid w:val="0071065D"/>
    <w:rsid w:val="0071469E"/>
    <w:rsid w:val="00715DEE"/>
    <w:rsid w:val="00717C77"/>
    <w:rsid w:val="007252C4"/>
    <w:rsid w:val="0073032B"/>
    <w:rsid w:val="007303DC"/>
    <w:rsid w:val="00731133"/>
    <w:rsid w:val="0073153F"/>
    <w:rsid w:val="00732883"/>
    <w:rsid w:val="00734D9A"/>
    <w:rsid w:val="007364ED"/>
    <w:rsid w:val="00737440"/>
    <w:rsid w:val="00744CD4"/>
    <w:rsid w:val="00745098"/>
    <w:rsid w:val="007459EB"/>
    <w:rsid w:val="00746655"/>
    <w:rsid w:val="00747FC0"/>
    <w:rsid w:val="00750668"/>
    <w:rsid w:val="007557B1"/>
    <w:rsid w:val="00755875"/>
    <w:rsid w:val="00757F35"/>
    <w:rsid w:val="00761D45"/>
    <w:rsid w:val="00763464"/>
    <w:rsid w:val="007877C6"/>
    <w:rsid w:val="0079339E"/>
    <w:rsid w:val="007941B5"/>
    <w:rsid w:val="00794F81"/>
    <w:rsid w:val="007A4592"/>
    <w:rsid w:val="007B061F"/>
    <w:rsid w:val="007B6A5F"/>
    <w:rsid w:val="007C100F"/>
    <w:rsid w:val="007D58B2"/>
    <w:rsid w:val="007E1C10"/>
    <w:rsid w:val="007E2336"/>
    <w:rsid w:val="007E359D"/>
    <w:rsid w:val="007E7A4E"/>
    <w:rsid w:val="007F2682"/>
    <w:rsid w:val="007F49B3"/>
    <w:rsid w:val="00803FFE"/>
    <w:rsid w:val="0080410E"/>
    <w:rsid w:val="00804436"/>
    <w:rsid w:val="0080582D"/>
    <w:rsid w:val="00812DA1"/>
    <w:rsid w:val="00813DA7"/>
    <w:rsid w:val="0081428F"/>
    <w:rsid w:val="00814343"/>
    <w:rsid w:val="00814EA0"/>
    <w:rsid w:val="00816CBB"/>
    <w:rsid w:val="00822AE3"/>
    <w:rsid w:val="00825DD1"/>
    <w:rsid w:val="0083210C"/>
    <w:rsid w:val="0083618C"/>
    <w:rsid w:val="0083797E"/>
    <w:rsid w:val="008405D1"/>
    <w:rsid w:val="00845822"/>
    <w:rsid w:val="008465CC"/>
    <w:rsid w:val="008533D1"/>
    <w:rsid w:val="00854054"/>
    <w:rsid w:val="00855E4A"/>
    <w:rsid w:val="00864EE7"/>
    <w:rsid w:val="00875136"/>
    <w:rsid w:val="00880BA8"/>
    <w:rsid w:val="00881DAC"/>
    <w:rsid w:val="0088455D"/>
    <w:rsid w:val="008917D9"/>
    <w:rsid w:val="008A0DC6"/>
    <w:rsid w:val="008A4B91"/>
    <w:rsid w:val="008A7ADD"/>
    <w:rsid w:val="008B422F"/>
    <w:rsid w:val="008B6C0D"/>
    <w:rsid w:val="008B711D"/>
    <w:rsid w:val="008D2E62"/>
    <w:rsid w:val="008E4301"/>
    <w:rsid w:val="008F013B"/>
    <w:rsid w:val="008F0581"/>
    <w:rsid w:val="008F1E2F"/>
    <w:rsid w:val="008F4E44"/>
    <w:rsid w:val="008F7606"/>
    <w:rsid w:val="00900E44"/>
    <w:rsid w:val="009038F2"/>
    <w:rsid w:val="00905154"/>
    <w:rsid w:val="00905EB4"/>
    <w:rsid w:val="009067A4"/>
    <w:rsid w:val="009072CA"/>
    <w:rsid w:val="009111F1"/>
    <w:rsid w:val="00912358"/>
    <w:rsid w:val="00912995"/>
    <w:rsid w:val="00917F53"/>
    <w:rsid w:val="009243B0"/>
    <w:rsid w:val="00927E9C"/>
    <w:rsid w:val="0093039B"/>
    <w:rsid w:val="0093345A"/>
    <w:rsid w:val="00937BE3"/>
    <w:rsid w:val="00940079"/>
    <w:rsid w:val="009416E1"/>
    <w:rsid w:val="00944F78"/>
    <w:rsid w:val="009460ED"/>
    <w:rsid w:val="00950E0B"/>
    <w:rsid w:val="00953DD7"/>
    <w:rsid w:val="00965633"/>
    <w:rsid w:val="009658E1"/>
    <w:rsid w:val="00965E19"/>
    <w:rsid w:val="00972161"/>
    <w:rsid w:val="00972AFE"/>
    <w:rsid w:val="009832CC"/>
    <w:rsid w:val="0098694B"/>
    <w:rsid w:val="009903EC"/>
    <w:rsid w:val="0099443E"/>
    <w:rsid w:val="00995A7B"/>
    <w:rsid w:val="009A4044"/>
    <w:rsid w:val="009A5958"/>
    <w:rsid w:val="009A7E1F"/>
    <w:rsid w:val="009B09B8"/>
    <w:rsid w:val="009B5A0B"/>
    <w:rsid w:val="009C038E"/>
    <w:rsid w:val="009C08FC"/>
    <w:rsid w:val="009C106E"/>
    <w:rsid w:val="009C271D"/>
    <w:rsid w:val="009C5D6A"/>
    <w:rsid w:val="009C643A"/>
    <w:rsid w:val="009D1465"/>
    <w:rsid w:val="009E0436"/>
    <w:rsid w:val="009E2915"/>
    <w:rsid w:val="009E7BFB"/>
    <w:rsid w:val="009F0285"/>
    <w:rsid w:val="009F6560"/>
    <w:rsid w:val="00A03917"/>
    <w:rsid w:val="00A05A57"/>
    <w:rsid w:val="00A15F64"/>
    <w:rsid w:val="00A20866"/>
    <w:rsid w:val="00A23C8F"/>
    <w:rsid w:val="00A334A0"/>
    <w:rsid w:val="00A34D8A"/>
    <w:rsid w:val="00A357AF"/>
    <w:rsid w:val="00A43174"/>
    <w:rsid w:val="00A43437"/>
    <w:rsid w:val="00A52715"/>
    <w:rsid w:val="00A5427D"/>
    <w:rsid w:val="00A56B3E"/>
    <w:rsid w:val="00A61CEE"/>
    <w:rsid w:val="00A67603"/>
    <w:rsid w:val="00A701FD"/>
    <w:rsid w:val="00A7027D"/>
    <w:rsid w:val="00A711C6"/>
    <w:rsid w:val="00A73BEC"/>
    <w:rsid w:val="00A744F1"/>
    <w:rsid w:val="00A75F14"/>
    <w:rsid w:val="00A77F54"/>
    <w:rsid w:val="00A80FC6"/>
    <w:rsid w:val="00A840C9"/>
    <w:rsid w:val="00A84896"/>
    <w:rsid w:val="00A86EC1"/>
    <w:rsid w:val="00A87DA8"/>
    <w:rsid w:val="00A90F62"/>
    <w:rsid w:val="00A92099"/>
    <w:rsid w:val="00A9239B"/>
    <w:rsid w:val="00A97207"/>
    <w:rsid w:val="00A97B67"/>
    <w:rsid w:val="00AA06A9"/>
    <w:rsid w:val="00AB58F6"/>
    <w:rsid w:val="00AC37AB"/>
    <w:rsid w:val="00AD3F7F"/>
    <w:rsid w:val="00AD6312"/>
    <w:rsid w:val="00AE2E21"/>
    <w:rsid w:val="00AF139F"/>
    <w:rsid w:val="00AF26DC"/>
    <w:rsid w:val="00AF6D1B"/>
    <w:rsid w:val="00B04508"/>
    <w:rsid w:val="00B04C89"/>
    <w:rsid w:val="00B05B4C"/>
    <w:rsid w:val="00B070BE"/>
    <w:rsid w:val="00B114A8"/>
    <w:rsid w:val="00B1342A"/>
    <w:rsid w:val="00B15364"/>
    <w:rsid w:val="00B1536D"/>
    <w:rsid w:val="00B160C8"/>
    <w:rsid w:val="00B34005"/>
    <w:rsid w:val="00B403D8"/>
    <w:rsid w:val="00B4495D"/>
    <w:rsid w:val="00B51973"/>
    <w:rsid w:val="00B51DA3"/>
    <w:rsid w:val="00B5427E"/>
    <w:rsid w:val="00B546DD"/>
    <w:rsid w:val="00B55D58"/>
    <w:rsid w:val="00B56B55"/>
    <w:rsid w:val="00B63DEF"/>
    <w:rsid w:val="00B6414F"/>
    <w:rsid w:val="00B6526F"/>
    <w:rsid w:val="00B676EA"/>
    <w:rsid w:val="00B85277"/>
    <w:rsid w:val="00B85510"/>
    <w:rsid w:val="00B94A67"/>
    <w:rsid w:val="00BA140F"/>
    <w:rsid w:val="00BA1544"/>
    <w:rsid w:val="00BA26D7"/>
    <w:rsid w:val="00BA4401"/>
    <w:rsid w:val="00BA4EED"/>
    <w:rsid w:val="00BA5030"/>
    <w:rsid w:val="00BB13D9"/>
    <w:rsid w:val="00BB141A"/>
    <w:rsid w:val="00BB2AF9"/>
    <w:rsid w:val="00BB3631"/>
    <w:rsid w:val="00BD548D"/>
    <w:rsid w:val="00BD5A00"/>
    <w:rsid w:val="00BD7B87"/>
    <w:rsid w:val="00BE0D2D"/>
    <w:rsid w:val="00BE189C"/>
    <w:rsid w:val="00BE2EF0"/>
    <w:rsid w:val="00BF29D6"/>
    <w:rsid w:val="00BF4FDE"/>
    <w:rsid w:val="00BF7051"/>
    <w:rsid w:val="00C0046A"/>
    <w:rsid w:val="00C05CE3"/>
    <w:rsid w:val="00C061C2"/>
    <w:rsid w:val="00C107AE"/>
    <w:rsid w:val="00C1359A"/>
    <w:rsid w:val="00C15FFF"/>
    <w:rsid w:val="00C20FB9"/>
    <w:rsid w:val="00C21885"/>
    <w:rsid w:val="00C30CBA"/>
    <w:rsid w:val="00C31B72"/>
    <w:rsid w:val="00C32E50"/>
    <w:rsid w:val="00C33360"/>
    <w:rsid w:val="00C344D1"/>
    <w:rsid w:val="00C34D6A"/>
    <w:rsid w:val="00C3697D"/>
    <w:rsid w:val="00C46F6B"/>
    <w:rsid w:val="00C51A4A"/>
    <w:rsid w:val="00C545C3"/>
    <w:rsid w:val="00C545D2"/>
    <w:rsid w:val="00C60E39"/>
    <w:rsid w:val="00C659CA"/>
    <w:rsid w:val="00C663BD"/>
    <w:rsid w:val="00C67CFC"/>
    <w:rsid w:val="00C7328D"/>
    <w:rsid w:val="00C76F91"/>
    <w:rsid w:val="00C82886"/>
    <w:rsid w:val="00C911DC"/>
    <w:rsid w:val="00CA6382"/>
    <w:rsid w:val="00CB4E63"/>
    <w:rsid w:val="00CC0A15"/>
    <w:rsid w:val="00CC15DA"/>
    <w:rsid w:val="00CC337C"/>
    <w:rsid w:val="00CC727D"/>
    <w:rsid w:val="00CE255F"/>
    <w:rsid w:val="00CF28B7"/>
    <w:rsid w:val="00CF5D87"/>
    <w:rsid w:val="00CF7537"/>
    <w:rsid w:val="00D01EF5"/>
    <w:rsid w:val="00D02FE6"/>
    <w:rsid w:val="00D03C2F"/>
    <w:rsid w:val="00D05076"/>
    <w:rsid w:val="00D10532"/>
    <w:rsid w:val="00D15796"/>
    <w:rsid w:val="00D2025D"/>
    <w:rsid w:val="00D25B53"/>
    <w:rsid w:val="00D318A8"/>
    <w:rsid w:val="00D34CD3"/>
    <w:rsid w:val="00D44F5F"/>
    <w:rsid w:val="00D45AA0"/>
    <w:rsid w:val="00D605C9"/>
    <w:rsid w:val="00D60FB9"/>
    <w:rsid w:val="00D625A1"/>
    <w:rsid w:val="00D7310A"/>
    <w:rsid w:val="00D76285"/>
    <w:rsid w:val="00D763C8"/>
    <w:rsid w:val="00D765FB"/>
    <w:rsid w:val="00D8164A"/>
    <w:rsid w:val="00D83315"/>
    <w:rsid w:val="00D84D07"/>
    <w:rsid w:val="00D85901"/>
    <w:rsid w:val="00D92E8C"/>
    <w:rsid w:val="00D9331C"/>
    <w:rsid w:val="00D9428E"/>
    <w:rsid w:val="00D9443D"/>
    <w:rsid w:val="00D95404"/>
    <w:rsid w:val="00D95893"/>
    <w:rsid w:val="00DA3ECB"/>
    <w:rsid w:val="00DA5207"/>
    <w:rsid w:val="00DB0417"/>
    <w:rsid w:val="00DB361D"/>
    <w:rsid w:val="00DB7F23"/>
    <w:rsid w:val="00DC19FD"/>
    <w:rsid w:val="00DC340C"/>
    <w:rsid w:val="00DC3D47"/>
    <w:rsid w:val="00DC44DE"/>
    <w:rsid w:val="00DC545F"/>
    <w:rsid w:val="00DC773E"/>
    <w:rsid w:val="00DD036B"/>
    <w:rsid w:val="00DD0ABE"/>
    <w:rsid w:val="00DD5901"/>
    <w:rsid w:val="00DD735F"/>
    <w:rsid w:val="00DE29B6"/>
    <w:rsid w:val="00DE4547"/>
    <w:rsid w:val="00DE5B37"/>
    <w:rsid w:val="00DF75C4"/>
    <w:rsid w:val="00E002C5"/>
    <w:rsid w:val="00E0201E"/>
    <w:rsid w:val="00E054F9"/>
    <w:rsid w:val="00E11E32"/>
    <w:rsid w:val="00E13332"/>
    <w:rsid w:val="00E243B1"/>
    <w:rsid w:val="00E34D30"/>
    <w:rsid w:val="00E3554A"/>
    <w:rsid w:val="00E367AF"/>
    <w:rsid w:val="00E379E3"/>
    <w:rsid w:val="00E45F55"/>
    <w:rsid w:val="00E472CD"/>
    <w:rsid w:val="00E475AE"/>
    <w:rsid w:val="00E529F7"/>
    <w:rsid w:val="00E52E62"/>
    <w:rsid w:val="00E63171"/>
    <w:rsid w:val="00E65918"/>
    <w:rsid w:val="00E67809"/>
    <w:rsid w:val="00E67E61"/>
    <w:rsid w:val="00E67EC2"/>
    <w:rsid w:val="00E7236C"/>
    <w:rsid w:val="00E7245F"/>
    <w:rsid w:val="00E80878"/>
    <w:rsid w:val="00E8320A"/>
    <w:rsid w:val="00E8539C"/>
    <w:rsid w:val="00E91AB7"/>
    <w:rsid w:val="00EA05EB"/>
    <w:rsid w:val="00EA243A"/>
    <w:rsid w:val="00EA6778"/>
    <w:rsid w:val="00EA71A6"/>
    <w:rsid w:val="00EB28CD"/>
    <w:rsid w:val="00EB298B"/>
    <w:rsid w:val="00EB3C9B"/>
    <w:rsid w:val="00EC5708"/>
    <w:rsid w:val="00ED34BB"/>
    <w:rsid w:val="00ED55BF"/>
    <w:rsid w:val="00ED6454"/>
    <w:rsid w:val="00EE7E31"/>
    <w:rsid w:val="00EF0F64"/>
    <w:rsid w:val="00EF1E10"/>
    <w:rsid w:val="00EF23D3"/>
    <w:rsid w:val="00EF34EC"/>
    <w:rsid w:val="00EF7E81"/>
    <w:rsid w:val="00F00AA7"/>
    <w:rsid w:val="00F01E55"/>
    <w:rsid w:val="00F01E93"/>
    <w:rsid w:val="00F0594E"/>
    <w:rsid w:val="00F067B9"/>
    <w:rsid w:val="00F1083D"/>
    <w:rsid w:val="00F1150D"/>
    <w:rsid w:val="00F1609E"/>
    <w:rsid w:val="00F20EA5"/>
    <w:rsid w:val="00F22416"/>
    <w:rsid w:val="00F23BE7"/>
    <w:rsid w:val="00F318F2"/>
    <w:rsid w:val="00F3249D"/>
    <w:rsid w:val="00F32DD2"/>
    <w:rsid w:val="00F3371F"/>
    <w:rsid w:val="00F364A3"/>
    <w:rsid w:val="00F4426B"/>
    <w:rsid w:val="00F4499D"/>
    <w:rsid w:val="00F454EC"/>
    <w:rsid w:val="00F45E0B"/>
    <w:rsid w:val="00F45E94"/>
    <w:rsid w:val="00F472FB"/>
    <w:rsid w:val="00F50048"/>
    <w:rsid w:val="00F502CC"/>
    <w:rsid w:val="00F50401"/>
    <w:rsid w:val="00F53F9E"/>
    <w:rsid w:val="00F54D09"/>
    <w:rsid w:val="00F60918"/>
    <w:rsid w:val="00F6153E"/>
    <w:rsid w:val="00F64032"/>
    <w:rsid w:val="00F6510C"/>
    <w:rsid w:val="00F77CAC"/>
    <w:rsid w:val="00F801B4"/>
    <w:rsid w:val="00F8114D"/>
    <w:rsid w:val="00F81B01"/>
    <w:rsid w:val="00F866C2"/>
    <w:rsid w:val="00F90551"/>
    <w:rsid w:val="00F914B9"/>
    <w:rsid w:val="00F9714E"/>
    <w:rsid w:val="00FA147C"/>
    <w:rsid w:val="00FA2399"/>
    <w:rsid w:val="00FA3692"/>
    <w:rsid w:val="00FA58CE"/>
    <w:rsid w:val="00FB211E"/>
    <w:rsid w:val="00FB255B"/>
    <w:rsid w:val="00FB59ED"/>
    <w:rsid w:val="00FB5D31"/>
    <w:rsid w:val="00FC5F2C"/>
    <w:rsid w:val="00FC61E6"/>
    <w:rsid w:val="00FD62A8"/>
    <w:rsid w:val="00FD64C4"/>
    <w:rsid w:val="00FE3CCE"/>
    <w:rsid w:val="00FE5EF4"/>
    <w:rsid w:val="00FE6F7B"/>
    <w:rsid w:val="198408E5"/>
    <w:rsid w:val="2F6A2061"/>
    <w:rsid w:val="34B1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27EC5"/>
  <w15:docId w15:val="{F0292999-C38B-436A-97D4-58BDBDBD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C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91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1DC"/>
  </w:style>
  <w:style w:type="character" w:styleId="Hyperlink">
    <w:name w:val="Hyperlink"/>
    <w:basedOn w:val="DefaultParagraphFont"/>
    <w:unhideWhenUsed/>
    <w:rsid w:val="00C911D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34E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A6F69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304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304A"/>
    <w:rPr>
      <w:rFonts w:ascii="Consolas" w:hAnsi="Consola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914B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6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9C8"/>
  </w:style>
  <w:style w:type="table" w:styleId="TableGrid">
    <w:name w:val="Table Grid"/>
    <w:basedOn w:val="TableNormal"/>
    <w:uiPriority w:val="39"/>
    <w:rsid w:val="0063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0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kbpm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F9703-96DF-41C1-8FE8-A8A82B236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2386</TotalTime>
  <Pages>6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Jovissa Marku</cp:lastModifiedBy>
  <cp:revision>570</cp:revision>
  <cp:lastPrinted>2026-02-17T09:30:00Z</cp:lastPrinted>
  <dcterms:created xsi:type="dcterms:W3CDTF">2020-07-14T12:43:00Z</dcterms:created>
  <dcterms:modified xsi:type="dcterms:W3CDTF">2026-02-17T10:51:00Z</dcterms:modified>
</cp:coreProperties>
</file>