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AD4E" w14:textId="77777777" w:rsidR="00A33685" w:rsidRDefault="00A33685" w:rsidP="00A33685">
      <w:pPr>
        <w:spacing w:after="0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sq-AL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Komunikim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Drejtpërdrejtë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Profesionistëve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Kujdesit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Shëndetësor</w:t>
      </w:r>
      <w:proofErr w:type="spellEnd"/>
    </w:p>
    <w:p w14:paraId="5A02698B" w14:textId="77777777" w:rsidR="00A33685" w:rsidRDefault="00A33685" w:rsidP="00A33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97DC07" w14:textId="77777777" w:rsidR="00A33685" w:rsidRDefault="00A33685" w:rsidP="00A33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Formulime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intravenoze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acidit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traneksamik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padëshiruara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serioze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fatale,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intratekal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paqëllimshëm</w:t>
      </w:r>
      <w:proofErr w:type="spellEnd"/>
    </w:p>
    <w:p w14:paraId="41E0CCEA" w14:textId="77777777" w:rsidR="00A33685" w:rsidRDefault="00A33685" w:rsidP="00A33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21F4B6" w14:textId="77777777" w:rsidR="00A33685" w:rsidRDefault="00A33685" w:rsidP="00A336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nderuar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profesionist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kujdesit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shëndetësor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9B5E3CC" w14:textId="77777777" w:rsidR="00A33685" w:rsidRDefault="00A33685" w:rsidP="00A336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108B6" w14:textId="77777777" w:rsidR="00A33685" w:rsidRDefault="00A33685" w:rsidP="00A33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Mbajtësit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Autorizimit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Tregtimit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(MAH)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intravenoze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acidit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traneksamik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marrëveshje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Agjencinë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Evropiane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Barnave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(EMA)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Agjencia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Kombëtare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Barnave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Pajisjeve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Mjekësore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(AKBPM)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dëshiron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t'ju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6E814D9" w14:textId="77777777" w:rsidR="00A33685" w:rsidRDefault="00A33685" w:rsidP="00A33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747D6F" w14:textId="77777777" w:rsidR="00A33685" w:rsidRDefault="00A33685" w:rsidP="00A336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Përmbledhje</w:t>
      </w:r>
      <w:proofErr w:type="spellEnd"/>
    </w:p>
    <w:p w14:paraId="7FFCD26D" w14:textId="77777777" w:rsidR="00A33685" w:rsidRDefault="00A33685" w:rsidP="00A336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1AE43" w14:textId="77777777" w:rsidR="00A33685" w:rsidRDefault="00A33685" w:rsidP="00A33685">
      <w:pPr>
        <w:spacing w:after="0"/>
        <w:ind w:right="-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• Formula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injektueshme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acidit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traneksamik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autorizuar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vetëm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përdorim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intravenoz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271430" w14:textId="77777777" w:rsidR="00A33685" w:rsidRDefault="00A33685" w:rsidP="00A336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Përdorimi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intratekal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epidural,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intraventrikular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intracerebral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acidit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traneksamik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kundërindikuar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3E32BC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tregohet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kujdes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jashtëzakonshëm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gjatë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ruajtjes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trajtimit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administrimit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formulimeve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intravenoze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acidit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traneksamik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siguruar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rrugën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saktë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administrimit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përfshin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etiketimin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qartë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shiringave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përmbajnë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acid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traneksamik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vetëm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për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përdorim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intravenoz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dhe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ruajtjen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injektimeve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acidit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traneksamik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veçmas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nga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anestetikët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lokalë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injektueshëm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0F2CF9BE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•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Efekte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padëshiruara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serioze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, fatale,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janë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raportuar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pas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administrimit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paqëllimshëm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intratekal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për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shkak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ngatërresave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kryesisht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me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anestetikë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lokalë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injektueshëm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4B759E47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A45E2BB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Informacioni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6181113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453EA88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Acidi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traneksamik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është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një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antifibrinolitik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indikuar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rriturit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fëmijët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moshës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 </w:t>
      </w:r>
      <w:proofErr w:type="spellStart"/>
      <w:r>
        <w:rPr>
          <w:rFonts w:asciiTheme="majorBidi" w:hAnsiTheme="majorBidi" w:cstheme="majorBidi"/>
          <w:sz w:val="24"/>
          <w:szCs w:val="24"/>
        </w:rPr>
        <w:t>vjeç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lart</w:t>
      </w:r>
      <w:proofErr w:type="spellEnd"/>
    </w:p>
    <w:p w14:paraId="62593B12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për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parandalimin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trajtimin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gjakderdhjes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shkak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fibrinolizës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përgjithshme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lokale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143C0F50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F242782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Indikacionet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specifike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janë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14:paraId="090C8FF4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1FB426E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• </w:t>
      </w:r>
      <w:proofErr w:type="spellStart"/>
      <w:r>
        <w:rPr>
          <w:rFonts w:asciiTheme="majorBidi" w:hAnsiTheme="majorBidi" w:cstheme="majorBidi"/>
          <w:sz w:val="24"/>
          <w:szCs w:val="24"/>
        </w:rPr>
        <w:t>gjakderdhja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shkaktuar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fibrinoliza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përgjithësuar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lokale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siç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janë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- </w:t>
      </w:r>
      <w:proofErr w:type="spellStart"/>
      <w:r>
        <w:rPr>
          <w:rFonts w:asciiTheme="majorBidi" w:hAnsiTheme="majorBidi" w:cstheme="majorBidi"/>
          <w:sz w:val="24"/>
          <w:szCs w:val="24"/>
        </w:rPr>
        <w:t>menoragjia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metroragjia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; - </w:t>
      </w:r>
      <w:proofErr w:type="spellStart"/>
      <w:r>
        <w:rPr>
          <w:rFonts w:asciiTheme="majorBidi" w:hAnsiTheme="majorBidi" w:cstheme="majorBidi"/>
          <w:sz w:val="24"/>
          <w:szCs w:val="24"/>
        </w:rPr>
        <w:t>gjakderdhja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gastrointestinale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; - </w:t>
      </w:r>
      <w:proofErr w:type="spellStart"/>
      <w:r>
        <w:rPr>
          <w:rFonts w:asciiTheme="majorBidi" w:hAnsiTheme="majorBidi" w:cstheme="majorBidi"/>
          <w:sz w:val="24"/>
          <w:szCs w:val="24"/>
        </w:rPr>
        <w:t>çrregullimet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gjakderdhjes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urinare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pas </w:t>
      </w:r>
      <w:proofErr w:type="spellStart"/>
      <w:r>
        <w:rPr>
          <w:rFonts w:asciiTheme="majorBidi" w:hAnsiTheme="majorBidi" w:cstheme="majorBidi"/>
          <w:sz w:val="24"/>
          <w:szCs w:val="24"/>
        </w:rPr>
        <w:t>operacionit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prostatës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procedurave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kirurgjikale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përfshijnë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traktin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urinar</w:t>
      </w:r>
      <w:proofErr w:type="spellEnd"/>
      <w:r>
        <w:rPr>
          <w:rFonts w:asciiTheme="majorBidi" w:hAnsiTheme="majorBidi" w:cstheme="majorBidi"/>
          <w:sz w:val="24"/>
          <w:szCs w:val="24"/>
        </w:rPr>
        <w:t>;</w:t>
      </w:r>
      <w:proofErr w:type="gramEnd"/>
    </w:p>
    <w:p w14:paraId="5F30580A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• </w:t>
      </w:r>
      <w:proofErr w:type="spellStart"/>
      <w:r>
        <w:rPr>
          <w:rFonts w:asciiTheme="majorBidi" w:hAnsiTheme="majorBidi" w:cstheme="majorBidi"/>
          <w:sz w:val="24"/>
          <w:szCs w:val="24"/>
        </w:rPr>
        <w:t>Kirurgjia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ORL (</w:t>
      </w:r>
      <w:proofErr w:type="spellStart"/>
      <w:r>
        <w:rPr>
          <w:rFonts w:asciiTheme="majorBidi" w:hAnsiTheme="majorBidi" w:cstheme="majorBidi"/>
          <w:sz w:val="24"/>
          <w:szCs w:val="24"/>
        </w:rPr>
        <w:t>adenoidektomia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tonsillektomia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nxjerrja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dhëmbëve</w:t>
      </w:r>
      <w:proofErr w:type="spellEnd"/>
      <w:proofErr w:type="gramStart"/>
      <w:r>
        <w:rPr>
          <w:rFonts w:asciiTheme="majorBidi" w:hAnsiTheme="majorBidi" w:cstheme="majorBidi"/>
          <w:sz w:val="24"/>
          <w:szCs w:val="24"/>
        </w:rPr>
        <w:t>);</w:t>
      </w:r>
      <w:proofErr w:type="gramEnd"/>
    </w:p>
    <w:p w14:paraId="5CAE6EEB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• </w:t>
      </w:r>
      <w:proofErr w:type="spellStart"/>
      <w:r>
        <w:rPr>
          <w:rFonts w:asciiTheme="majorBidi" w:hAnsiTheme="majorBidi" w:cstheme="majorBidi"/>
          <w:sz w:val="24"/>
          <w:szCs w:val="24"/>
        </w:rPr>
        <w:t>kirurgjia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gjinekologjike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çrregullimet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obstetrike</w:t>
      </w:r>
      <w:proofErr w:type="spellEnd"/>
      <w:r>
        <w:rPr>
          <w:rFonts w:asciiTheme="majorBidi" w:hAnsiTheme="majorBidi" w:cstheme="majorBidi"/>
          <w:sz w:val="24"/>
          <w:szCs w:val="24"/>
        </w:rPr>
        <w:t>;</w:t>
      </w:r>
      <w:proofErr w:type="gramEnd"/>
    </w:p>
    <w:p w14:paraId="2AE20DCE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• </w:t>
      </w:r>
      <w:proofErr w:type="spellStart"/>
      <w:r>
        <w:rPr>
          <w:rFonts w:asciiTheme="majorBidi" w:hAnsiTheme="majorBidi" w:cstheme="majorBidi"/>
          <w:sz w:val="24"/>
          <w:szCs w:val="24"/>
        </w:rPr>
        <w:t>kirurgjia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torakale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abdominale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operacione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tjera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mëdha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kirurgjia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kardiovaskulare</w:t>
      </w:r>
      <w:proofErr w:type="spellEnd"/>
      <w:r>
        <w:rPr>
          <w:rFonts w:asciiTheme="majorBidi" w:hAnsiTheme="majorBidi" w:cstheme="majorBidi"/>
          <w:sz w:val="24"/>
          <w:szCs w:val="24"/>
        </w:rPr>
        <w:t>;</w:t>
      </w:r>
      <w:proofErr w:type="gramEnd"/>
    </w:p>
    <w:p w14:paraId="3D3868E9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• </w:t>
      </w:r>
      <w:proofErr w:type="spellStart"/>
      <w:r>
        <w:rPr>
          <w:rFonts w:asciiTheme="majorBidi" w:hAnsiTheme="majorBidi" w:cstheme="majorBidi"/>
          <w:sz w:val="24"/>
          <w:szCs w:val="24"/>
        </w:rPr>
        <w:t>menaxhimi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gjakderdhjes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shkak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administrimit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fibrinolizës</w:t>
      </w:r>
      <w:proofErr w:type="spellEnd"/>
    </w:p>
    <w:p w14:paraId="381D7AA7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DF7217F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Acidi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traneksamik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injektueshëm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është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autorizuar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vetëm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përdorim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intravenoz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Nuk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duhet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administrohet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në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rrugë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intratekale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epidurale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, me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injeksion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intraventrikular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ose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me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aplikim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intracerebral. </w:t>
      </w:r>
    </w:p>
    <w:p w14:paraId="6CCCF441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Janë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identifikuar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raste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gabimeve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barnave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duke </w:t>
      </w:r>
      <w:proofErr w:type="spellStart"/>
      <w:r>
        <w:rPr>
          <w:rFonts w:asciiTheme="majorBidi" w:hAnsiTheme="majorBidi" w:cstheme="majorBidi"/>
          <w:sz w:val="24"/>
          <w:szCs w:val="24"/>
        </w:rPr>
        <w:t>përfshirë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rastet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raportuara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BE, </w:t>
      </w:r>
      <w:proofErr w:type="spellStart"/>
      <w:r>
        <w:rPr>
          <w:rFonts w:asciiTheme="majorBidi" w:hAnsiTheme="majorBidi" w:cstheme="majorBidi"/>
          <w:sz w:val="24"/>
          <w:szCs w:val="24"/>
        </w:rPr>
        <w:t>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injeksioni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acidit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traneksamik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është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administruar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 </w:t>
      </w:r>
      <w:proofErr w:type="spellStart"/>
      <w:r>
        <w:rPr>
          <w:rFonts w:asciiTheme="majorBidi" w:hAnsiTheme="majorBidi" w:cstheme="majorBidi"/>
          <w:sz w:val="24"/>
          <w:szCs w:val="24"/>
        </w:rPr>
        <w:t>dashje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intratekal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epidural. </w:t>
      </w:r>
      <w:proofErr w:type="spellStart"/>
      <w:r>
        <w:rPr>
          <w:rFonts w:asciiTheme="majorBidi" w:hAnsiTheme="majorBidi" w:cstheme="majorBidi"/>
          <w:sz w:val="24"/>
          <w:szCs w:val="24"/>
        </w:rPr>
        <w:t>Shumica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këtyre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rasteve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përfshinin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ngatërrime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flakoneve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ampulave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rezultuan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administrim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gabuar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acidit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traneksamik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vend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anestezikut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lokal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injektueshëm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synuar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(p.sh. </w:t>
      </w:r>
      <w:proofErr w:type="spellStart"/>
      <w:r>
        <w:rPr>
          <w:rFonts w:asciiTheme="majorBidi" w:hAnsiTheme="majorBidi" w:cstheme="majorBidi"/>
          <w:sz w:val="24"/>
          <w:szCs w:val="24"/>
        </w:rPr>
        <w:t>bupivakainë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levobupivakainë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prilokainë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).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Kur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administrohet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në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rrugë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intratekale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u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raportuan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dëmtime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serioze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pacientëve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duke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përfshirë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shtrimin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në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spital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zgjatur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dhe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vdekjen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Efekte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padëshiruara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serioze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pas </w:t>
      </w:r>
      <w:proofErr w:type="spellStart"/>
      <w:r>
        <w:rPr>
          <w:rFonts w:asciiTheme="majorBidi" w:hAnsiTheme="majorBidi" w:cstheme="majorBidi"/>
          <w:sz w:val="24"/>
          <w:szCs w:val="24"/>
        </w:rPr>
        <w:t>administrimit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paqëllimshëm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intratekal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përfshinin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dhimbje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forta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shpine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gluteale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gjymtyrëve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poshtme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mioklonus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kriza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përgjithësuara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aritmi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kardiake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0DC349C4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7F1AA44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Profesionistët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kujdesit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shëndetësor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duhet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tregojnë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kujdes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jashtëzakonshëm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siguruar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rrugën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saktë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administrimit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acidit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traneksamik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Profesionistët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kujdesit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shëndetësor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duhet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jenë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vetëdijshëm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mundësinë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një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ngatërrimi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midis </w:t>
      </w:r>
      <w:proofErr w:type="spellStart"/>
      <w:r>
        <w:rPr>
          <w:rFonts w:asciiTheme="majorBidi" w:hAnsiTheme="majorBidi" w:cstheme="majorBidi"/>
          <w:sz w:val="24"/>
          <w:szCs w:val="24"/>
        </w:rPr>
        <w:t>acidit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traneksamik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produkteve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tjera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injektueshme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gjë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rezultojë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administrim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paqëllimshëm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acidit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traneksamik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një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rrugë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gabuar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Në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veçanti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kjo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përfshin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produktet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injektueshme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administruara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intratekale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përdoren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gjatë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njëjtës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procedurë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acidi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traneksamik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2D1D9FD0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Për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zvogëluar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rrezikun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gabimeve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fatale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barnave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shkak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rrugës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gabuar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administrimit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shiringat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përmbajnë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acid </w:t>
      </w:r>
      <w:proofErr w:type="spellStart"/>
      <w:r>
        <w:rPr>
          <w:rFonts w:asciiTheme="majorBidi" w:hAnsiTheme="majorBidi" w:cstheme="majorBidi"/>
          <w:sz w:val="24"/>
          <w:szCs w:val="24"/>
        </w:rPr>
        <w:t>traneksamik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duhet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etiketohen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qartë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identifikim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rrugë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saktë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administrimit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6488AF60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ABCD448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Gjithashtu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këshillohet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injeksionet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acidit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traneksamik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ruhen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veçmas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anestetikët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lokalë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injektueshëm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parandaluar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përzierjen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aksidentale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6928C943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CBDF9E3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Informacioni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produktit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acidit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traneksamik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injektueshëm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përfshirë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paketimin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jashtëm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do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përditësohet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për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forcuar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paralajmërimet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 </w:t>
      </w:r>
      <w:proofErr w:type="spellStart"/>
      <w:r>
        <w:rPr>
          <w:rFonts w:asciiTheme="majorBidi" w:hAnsiTheme="majorBidi" w:cstheme="majorBidi"/>
          <w:sz w:val="24"/>
          <w:szCs w:val="24"/>
        </w:rPr>
        <w:t>injeksioni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acidit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traneksamik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duhet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administrohet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vetëm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mënyrë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intravenoze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F285E8A" w14:textId="77777777" w:rsidR="00A33685" w:rsidRDefault="00A33685" w:rsidP="00A3368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ABFD59C" w14:textId="77777777" w:rsidR="00A33685" w:rsidRDefault="00A33685" w:rsidP="00A33685">
      <w:pPr>
        <w:shd w:val="clear" w:color="auto" w:fill="FEFEFE"/>
        <w:spacing w:after="0" w:line="240" w:lineRule="auto"/>
        <w:rPr>
          <w:rFonts w:asciiTheme="majorBidi" w:eastAsia="Times New Roman" w:hAnsiTheme="majorBidi" w:cstheme="majorBidi"/>
          <w:color w:val="3C3C3C"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3C3C3C"/>
          <w:sz w:val="24"/>
          <w:szCs w:val="24"/>
        </w:rPr>
        <w:t>Raportoni</w:t>
      </w:r>
      <w:proofErr w:type="spellEnd"/>
      <w:r>
        <w:rPr>
          <w:rFonts w:asciiTheme="majorBidi" w:eastAsia="Times New Roman" w:hAnsiTheme="majorBidi" w:cstheme="majorBidi"/>
          <w:b/>
          <w:bCs/>
          <w:color w:val="3C3C3C"/>
          <w:sz w:val="24"/>
          <w:szCs w:val="24"/>
        </w:rPr>
        <w:t> </w:t>
      </w:r>
    </w:p>
    <w:p w14:paraId="3C7296B7" w14:textId="77777777" w:rsidR="00A33685" w:rsidRDefault="00A33685" w:rsidP="00A33685">
      <w:pPr>
        <w:shd w:val="clear" w:color="auto" w:fill="FEFEFE"/>
        <w:spacing w:after="0" w:line="240" w:lineRule="auto"/>
        <w:rPr>
          <w:rFonts w:asciiTheme="majorBidi" w:eastAsia="Times New Roman" w:hAnsiTheme="majorBidi" w:cstheme="majorBidi"/>
          <w:color w:val="3C3C3C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3C3C3C"/>
          <w:sz w:val="24"/>
          <w:szCs w:val="24"/>
        </w:rPr>
        <w:t> </w:t>
      </w:r>
    </w:p>
    <w:p w14:paraId="130CCA8B" w14:textId="77777777" w:rsidR="00A33685" w:rsidRDefault="00A33685" w:rsidP="00A33685">
      <w:pPr>
        <w:shd w:val="clear" w:color="auto" w:fill="FEFEFE"/>
        <w:spacing w:after="0" w:line="240" w:lineRule="auto"/>
        <w:rPr>
          <w:rFonts w:asciiTheme="majorBidi" w:eastAsia="Times New Roman" w:hAnsiTheme="majorBidi" w:cstheme="majorBidi"/>
          <w:color w:val="3C3C3C"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Raportimi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efekteve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të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padëshiruara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të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dyshuara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është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shumë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rëndësishëm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. Ai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lejon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monitorimin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e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vazhdueshëm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të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bilancit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risk/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përfitim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të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barit.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Profesionistët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e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kujdesit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shëndetësor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duhet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të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raportojnë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çdo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efekt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të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padëshiruar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të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dyshuar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nëpërmjet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sistemit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kombëtar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të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raportimit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në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faqen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zyrtare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>të</w:t>
      </w:r>
      <w:proofErr w:type="spellEnd"/>
      <w:r>
        <w:rPr>
          <w:rFonts w:asciiTheme="majorBidi" w:eastAsia="Times New Roman" w:hAnsiTheme="majorBidi" w:cstheme="majorBidi"/>
          <w:color w:val="3C3C3C"/>
          <w:sz w:val="24"/>
          <w:szCs w:val="24"/>
        </w:rPr>
        <w:t xml:space="preserve"> AKBPM. </w:t>
      </w:r>
      <w:hyperlink r:id="rId4" w:history="1">
        <w:r>
          <w:rPr>
            <w:rStyle w:val="Hyperlink"/>
            <w:rFonts w:asciiTheme="majorBidi" w:eastAsia="Times New Roman" w:hAnsiTheme="majorBidi"/>
            <w:b/>
            <w:bCs/>
            <w:sz w:val="24"/>
            <w:szCs w:val="24"/>
          </w:rPr>
          <w:t>https://vigiflow-eforms.who-umc.org/al/aladr</w:t>
        </w:r>
      </w:hyperlink>
    </w:p>
    <w:p w14:paraId="6CC2E4B9" w14:textId="77777777" w:rsidR="00A33685" w:rsidRDefault="00A33685" w:rsidP="00A33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CD902F" w14:textId="77777777" w:rsidR="00A33685" w:rsidRDefault="00A33685" w:rsidP="00A33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8E9981" w14:textId="77777777" w:rsidR="00614617" w:rsidRDefault="00614617"/>
    <w:sectPr w:rsidR="00614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17"/>
    <w:rsid w:val="00614617"/>
    <w:rsid w:val="00A33685"/>
    <w:rsid w:val="00BD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03E65"/>
  <w15:chartTrackingRefBased/>
  <w15:docId w15:val="{DC1D9BC8-35ED-4380-92AA-CCE391ED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685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6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6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6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6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6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6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6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6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6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4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61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4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61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4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61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4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6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semiHidden/>
    <w:unhideWhenUsed/>
    <w:rsid w:val="00A336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giflow-eforms.who-umc.org/al/ala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Jovissa Marku</dc:creator>
  <cp:keywords/>
  <dc:description/>
  <cp:lastModifiedBy>Jovissa Marku</cp:lastModifiedBy>
  <cp:revision>2</cp:revision>
  <dcterms:created xsi:type="dcterms:W3CDTF">2025-12-17T10:37:00Z</dcterms:created>
  <dcterms:modified xsi:type="dcterms:W3CDTF">2025-12-17T10:38:00Z</dcterms:modified>
</cp:coreProperties>
</file>